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drawing>
          <wp:inline xmlns:a="http://schemas.openxmlformats.org/drawingml/2006/main" xmlns:pic="http://schemas.openxmlformats.org/drawingml/2006/picture">
            <wp:extent cx="2834640" cy="885825"/>
            <wp:docPr id="1" name="Picture 1" descr="Careland logo in dark blue and gold"/>
            <wp:cNvGraphicFramePr>
              <a:graphicFrameLocks noChangeAspect="1"/>
            </wp:cNvGraphicFramePr>
            <a:graphic>
              <a:graphicData uri="http://schemas.openxmlformats.org/drawingml/2006/picture">
                <pic:pic>
                  <pic:nvPicPr>
                    <pic:cNvPr id="0" name="image1.png"/>
                    <pic:cNvPicPr/>
                  </pic:nvPicPr>
                  <pic:blipFill>
                    <a:blip r:embed="rId11"/>
                    <a:stretch>
                      <a:fillRect/>
                    </a:stretch>
                  </pic:blipFill>
                  <pic:spPr>
                    <a:xfrm>
                      <a:off x="0" y="0"/>
                      <a:ext cx="2834640" cy="885825"/>
                    </a:xfrm>
                    <a:prstGeom prst="rect"/>
                  </pic:spPr>
                </pic:pic>
              </a:graphicData>
            </a:graphic>
          </wp:inline>
        </w:drawing>
      </w:r>
    </w:p>
    <w:p>
      <w:pPr>
        <w:pStyle w:val="Title"/>
      </w:pPr>
      <w:r>
        <w:t>Careland Employee Handbook</w:t>
      </w:r>
    </w:p>
    <w:p>
      <w:pPr>
        <w:pStyle w:val="Subtitle"/>
      </w:pPr>
      <w:r>
        <w:t>Everyday employment expectations and reporting procedures</w:t>
      </w:r>
    </w:p>
    <w:p>
      <w:r>
        <w:t>Edmonton Alberta  |  Version 1.0  |  Prepared 29 October 2026</w:t>
      </w:r>
    </w:p>
    <w:p>
      <w:r>
        <w:t>This handbook gives employees a practical guide to starting work, attending care visits, recording time and raising concerns. It explains expectations alongside the operations manual and detailed workplace policies.</w:t>
      </w:r>
    </w:p>
    <w:p>
      <w:r>
        <w:t>Your written employment terms and the applicable law establish pay and other entitlements. The handbook does not add unconfirmed benefits or waive legal rights. Management records approval, an effective date and current reporting contacts before staff implementation.</w:t>
      </w:r>
    </w:p>
    <w:p>
      <w:r>
        <w:t>For immediate danger or a medical emergency call 911. Use the independent external reporting route when the usual recipient or owner is involved in a concern.</w:t>
      </w:r>
    </w:p>
    <w:p>
      <w:pPr>
        <w:pStyle w:val="Heading1"/>
        <w:pageBreakBefore/>
      </w:pPr>
      <w:r>
        <w:t>Reporting contacts and management approval</w:t>
      </w:r>
    </w:p>
    <w:p>
      <w:r>
        <w:t>Complete this page before issuing the policies to staff. Keep current contact details available on every shift. A complaint may be made verbally or in writing; a form, signature or confrontation is not required.</w:t>
      </w:r>
    </w:p>
    <w:p>
      <w:pPr>
        <w:pStyle w:val="FieldLabel"/>
      </w:pPr>
      <w:r>
        <w:t>Primary recipient name and role</w:t>
      </w:r>
    </w:p>
    <w:p>
      <w:pPr>
        <w:pStyle w:val="ResponseLine"/>
        <w:spacing w:line="240" w:lineRule="auto"/>
        <w:pBdr>
          <w:bottom w:val="single" w:sz="3" w:color="B8BEC3"/>
        </w:pBdr>
      </w:pPr>
      <w:r>
        <w:rPr>
          <w:sz w:val="22"/>
        </w:rPr>
        <w:t xml:space="preserve"> </w:t>
      </w:r>
    </w:p>
    <w:p>
      <w:pPr>
        <w:pStyle w:val="FieldLabel"/>
      </w:pPr>
      <w:r>
        <w:t>Private phone and confidential reporting method</w:t>
      </w:r>
    </w:p>
    <w:p>
      <w:pPr>
        <w:pStyle w:val="ResponseLine"/>
        <w:spacing w:line="240" w:lineRule="auto"/>
        <w:pBdr>
          <w:bottom w:val="single" w:sz="3" w:color="B8BEC3"/>
        </w:pBdr>
      </w:pPr>
      <w:r>
        <w:rPr>
          <w:sz w:val="22"/>
        </w:rPr>
        <w:t xml:space="preserve"> </w:t>
      </w:r>
    </w:p>
    <w:p>
      <w:pPr>
        <w:pStyle w:val="FieldLabel"/>
      </w:pPr>
      <w:r>
        <w:t>Independent external alternate name and role</w:t>
      </w:r>
    </w:p>
    <w:p>
      <w:pPr>
        <w:pStyle w:val="ResponseLine"/>
        <w:spacing w:line="240" w:lineRule="auto"/>
        <w:pBdr>
          <w:bottom w:val="single" w:sz="3" w:color="B8BEC3"/>
        </w:pBdr>
      </w:pPr>
      <w:r>
        <w:rPr>
          <w:sz w:val="22"/>
        </w:rPr>
        <w:t xml:space="preserve"> </w:t>
      </w:r>
    </w:p>
    <w:p>
      <w:pPr>
        <w:pStyle w:val="FieldLabel"/>
      </w:pPr>
      <w:r>
        <w:t>Alternate private phone and confidential reporting method</w:t>
      </w:r>
    </w:p>
    <w:p>
      <w:pPr>
        <w:pStyle w:val="ResponseLine"/>
        <w:spacing w:line="240" w:lineRule="auto"/>
        <w:pBdr>
          <w:bottom w:val="single" w:sz="3" w:color="B8BEC3"/>
        </w:pBdr>
      </w:pPr>
      <w:r>
        <w:rPr>
          <w:sz w:val="22"/>
        </w:rPr>
        <w:t xml:space="preserve"> </w:t>
      </w:r>
    </w:p>
    <w:p>
      <w:pPr>
        <w:pStyle w:val="FieldLabel"/>
      </w:pPr>
      <w:r>
        <w:t>On call operations contact and backup</w:t>
      </w:r>
    </w:p>
    <w:p>
      <w:pPr>
        <w:pStyle w:val="ResponseLine"/>
        <w:spacing w:line="240" w:lineRule="auto"/>
        <w:pBdr>
          <w:bottom w:val="single" w:sz="3" w:color="B8BEC3"/>
        </w:pBdr>
      </w:pPr>
      <w:r>
        <w:rPr>
          <w:sz w:val="22"/>
        </w:rPr>
        <w:t xml:space="preserve"> </w:t>
      </w:r>
    </w:p>
    <w:p>
      <w:pPr>
        <w:pStyle w:val="FieldLabel"/>
      </w:pPr>
      <w:r>
        <w:t>Designated privacy and safeguarding contact</w:t>
      </w:r>
    </w:p>
    <w:p>
      <w:pPr>
        <w:pStyle w:val="ResponseLine"/>
        <w:spacing w:line="240" w:lineRule="auto"/>
        <w:pBdr>
          <w:bottom w:val="single" w:sz="3" w:color="B8BEC3"/>
        </w:pBdr>
      </w:pPr>
      <w:r>
        <w:rPr>
          <w:sz w:val="22"/>
        </w:rPr>
        <w:t xml:space="preserve"> </w:t>
      </w:r>
    </w:p>
    <w:p>
      <w:pPr>
        <w:pStyle w:val="FieldLabel"/>
      </w:pPr>
      <w:r>
        <w:t>Approved by name role and signature</w:t>
      </w:r>
    </w:p>
    <w:p>
      <w:pPr>
        <w:pStyle w:val="ResponseLine"/>
        <w:spacing w:line="240" w:lineRule="auto"/>
        <w:pBdr>
          <w:bottom w:val="single" w:sz="3" w:color="B8BEC3"/>
        </w:pBdr>
      </w:pPr>
      <w:r>
        <w:rPr>
          <w:sz w:val="22"/>
        </w:rPr>
        <w:t xml:space="preserve"> </w:t>
      </w:r>
    </w:p>
    <w:p>
      <w:pPr>
        <w:pStyle w:val="FieldLabel"/>
      </w:pPr>
      <w:r>
        <w:t>Effective date and next annual review date</w:t>
      </w:r>
    </w:p>
    <w:p>
      <w:pPr>
        <w:pStyle w:val="ResponseLine"/>
        <w:spacing w:line="240" w:lineRule="auto"/>
        <w:pBdr>
          <w:bottom w:val="single" w:sz="3" w:color="B8BEC3"/>
        </w:pBdr>
      </w:pPr>
      <w:r>
        <w:rPr>
          <w:sz w:val="22"/>
        </w:rPr>
        <w:t xml:space="preserve"> </w:t>
      </w:r>
    </w:p>
    <w:p>
      <w:pPr>
        <w:pStyle w:val="Small"/>
      </w:pPr>
      <w:r>
        <w:t>Employees may bypass anyone involved in the concern. An owner-related complaint must go to the independent external recipient and investigator; the owner must not screen, investigate or decide their own case. Arrange that independent route before staff issue.</w:t>
      </w:r>
    </w:p>
    <w:p>
      <w:pPr>
        <w:pStyle w:val="Small"/>
      </w:pPr>
      <w:r>
        <w:t>Record affected-worker consultation, orientation and any communication or accessibility support. Do not place completed complaints or personal medical information in a public copy.</w:t>
      </w:r>
    </w:p>
    <w:p>
      <w:pPr>
        <w:pStyle w:val="Heading1"/>
        <w:pageBreakBefore/>
      </w:pPr>
      <w:r>
        <w:t>Contents</w:t>
      </w:r>
    </w:p>
    <w:p>
      <w:pPr>
        <w:pStyle w:val="Small"/>
        <w:spacing w:after="120"/>
      </w:pPr>
      <w:hyperlink w:anchor="handbook_1">
        <w:r>
          <w:rPr>
            <w:color w:val="173F5F"/>
            <w:u w:val="single"/>
          </w:rPr>
          <w:t>1 Employment and handbook use</w:t>
        </w:r>
      </w:hyperlink>
    </w:p>
    <w:p>
      <w:pPr>
        <w:pStyle w:val="Small"/>
        <w:spacing w:after="120"/>
      </w:pPr>
      <w:hyperlink w:anchor="handbook_2">
        <w:r>
          <w:rPr>
            <w:color w:val="173F5F"/>
            <w:u w:val="single"/>
          </w:rPr>
          <w:t>2 Hiring registration and orientation</w:t>
        </w:r>
      </w:hyperlink>
    </w:p>
    <w:p>
      <w:pPr>
        <w:pStyle w:val="Small"/>
        <w:spacing w:after="120"/>
      </w:pPr>
      <w:hyperlink w:anchor="handbook_3">
        <w:r>
          <w:rPr>
            <w:color w:val="173F5F"/>
            <w:u w:val="single"/>
          </w:rPr>
          <w:t>3 Scheduling attendance and communication</w:t>
        </w:r>
      </w:hyperlink>
    </w:p>
    <w:p>
      <w:pPr>
        <w:pStyle w:val="Small"/>
        <w:spacing w:after="120"/>
      </w:pPr>
      <w:hyperlink w:anchor="handbook_4">
        <w:r>
          <w:rPr>
            <w:color w:val="173F5F"/>
            <w:u w:val="single"/>
          </w:rPr>
          <w:t>4 Timekeeping wages and payroll concerns</w:t>
        </w:r>
      </w:hyperlink>
    </w:p>
    <w:p>
      <w:pPr>
        <w:pStyle w:val="Small"/>
        <w:spacing w:after="120"/>
      </w:pPr>
      <w:hyperlink w:anchor="handbook_5">
        <w:r>
          <w:rPr>
            <w:color w:val="173F5F"/>
            <w:u w:val="single"/>
          </w:rPr>
          <w:t>5 Breaks rest travel and expenses</w:t>
        </w:r>
      </w:hyperlink>
    </w:p>
    <w:p>
      <w:pPr>
        <w:pStyle w:val="Small"/>
        <w:spacing w:after="120"/>
      </w:pPr>
      <w:hyperlink w:anchor="handbook_6">
        <w:r>
          <w:rPr>
            <w:color w:val="173F5F"/>
            <w:u w:val="single"/>
          </w:rPr>
          <w:t>6 Vacation leave and accommodation</w:t>
        </w:r>
      </w:hyperlink>
    </w:p>
    <w:p>
      <w:pPr>
        <w:pStyle w:val="Small"/>
        <w:spacing w:after="120"/>
      </w:pPr>
      <w:hyperlink w:anchor="handbook_7">
        <w:r>
          <w:rPr>
            <w:color w:val="173F5F"/>
            <w:u w:val="single"/>
          </w:rPr>
          <w:t>7 Providing authorized respectful care</w:t>
        </w:r>
      </w:hyperlink>
    </w:p>
    <w:p>
      <w:pPr>
        <w:pStyle w:val="Small"/>
        <w:spacing w:after="120"/>
      </w:pPr>
      <w:hyperlink w:anchor="handbook_8">
        <w:r>
          <w:rPr>
            <w:color w:val="173F5F"/>
            <w:u w:val="single"/>
          </w:rPr>
          <w:t>8 Safety infection prevention and working alone</w:t>
        </w:r>
      </w:hyperlink>
    </w:p>
    <w:p>
      <w:pPr>
        <w:pStyle w:val="Small"/>
        <w:spacing w:after="120"/>
      </w:pPr>
      <w:hyperlink w:anchor="handbook_9">
        <w:r>
          <w:rPr>
            <w:color w:val="173F5F"/>
            <w:u w:val="single"/>
          </w:rPr>
          <w:t>9 Emergencies incidents and safeguarding</w:t>
        </w:r>
      </w:hyperlink>
    </w:p>
    <w:p>
      <w:pPr>
        <w:pStyle w:val="Small"/>
        <w:spacing w:after="120"/>
      </w:pPr>
      <w:hyperlink w:anchor="handbook_10">
        <w:r>
          <w:rPr>
            <w:color w:val="173F5F"/>
            <w:u w:val="single"/>
          </w:rPr>
          <w:t>10 Privacy records devices and social media</w:t>
        </w:r>
      </w:hyperlink>
    </w:p>
    <w:p>
      <w:pPr>
        <w:pStyle w:val="Small"/>
        <w:spacing w:after="120"/>
      </w:pPr>
      <w:hyperlink w:anchor="handbook_11">
        <w:r>
          <w:rPr>
            <w:color w:val="173F5F"/>
            <w:u w:val="single"/>
          </w:rPr>
          <w:t>11 Professional boundaries property and conflicts</w:t>
        </w:r>
      </w:hyperlink>
    </w:p>
    <w:p>
      <w:pPr>
        <w:pStyle w:val="Small"/>
        <w:spacing w:after="120"/>
      </w:pPr>
      <w:hyperlink w:anchor="handbook_12">
        <w:r>
          <w:rPr>
            <w:color w:val="173F5F"/>
            <w:u w:val="single"/>
          </w:rPr>
          <w:t>12 Respectful workplace and prohibited conduct</w:t>
        </w:r>
      </w:hyperlink>
    </w:p>
    <w:p>
      <w:pPr>
        <w:pStyle w:val="Small"/>
        <w:spacing w:after="120"/>
      </w:pPr>
      <w:hyperlink w:anchor="handbook_13">
        <w:r>
          <w:rPr>
            <w:color w:val="173F5F"/>
            <w:u w:val="single"/>
          </w:rPr>
          <w:t>13 Reporting complaints investigation and review</w:t>
        </w:r>
      </w:hyperlink>
    </w:p>
    <w:p>
      <w:pPr>
        <w:pStyle w:val="Small"/>
        <w:spacing w:after="120"/>
      </w:pPr>
      <w:hyperlink w:anchor="handbook_14">
        <w:r>
          <w:rPr>
            <w:color w:val="173F5F"/>
            <w:u w:val="single"/>
          </w:rPr>
          <w:t>14 Performance concerns and fair corrective action</w:t>
        </w:r>
      </w:hyperlink>
    </w:p>
    <w:p>
      <w:pPr>
        <w:pStyle w:val="Small"/>
        <w:spacing w:after="120"/>
      </w:pPr>
      <w:hyperlink w:anchor="handbook_15">
        <w:r>
          <w:rPr>
            <w:color w:val="173F5F"/>
            <w:u w:val="single"/>
          </w:rPr>
          <w:t>15 Leaving employment and continuing responsibilities</w:t>
        </w:r>
      </w:hyperlink>
    </w:p>
    <w:p>
      <w:pPr>
        <w:pStyle w:val="Small"/>
      </w:pPr>
      <w:r>
        <w:t>Employment details record employee acknowledgement and reference sources</w:t>
      </w:r>
    </w:p>
    <w:p>
      <w:bookmarkStart w:id="1" w:name="handbook_1"/>
      <w:pPr>
        <w:pStyle w:val="Heading1"/>
        <w:pageBreakBefore/>
      </w:pPr>
      <w:r>
        <w:t>1 Employment and handbook use</w:t>
      </w:r>
      <w:bookmarkEnd w:id="1"/>
    </w:p>
    <w:p>
      <w:r>
        <w:t>Careland is a for-profit home-care business. Our work supports clients' dignity, preferences and daily routines in their homes and other specifically approved care settings. Every assignment depends on assessed needs, available competent staff, required authority and actual insurance coverage.</w:t>
      </w:r>
    </w:p>
    <w:p>
      <w:r>
        <w:t>This handbook explains everyday employment expectations and where to get help. Read it with your written employment terms, assigned care plans and the Careland Policies and Procedures Manual. The separate workplace policies give the detailed harassment, discrimination, investigation and violence-prevention procedures.</w:t>
      </w:r>
    </w:p>
    <w:p>
      <w:r>
        <w:t>Your role, pay rate, start date, expected hours, supervisor and any benefits must be confirmed in writing. This handbook does not create an unrecorded benefit, change a signed agreement or waive a legal entitlement. Applicable minimum employment rights continue regardless of a policy or acknowledgement.</w:t>
      </w:r>
    </w:p>
    <w:p>
      <w:r>
        <w:t>Ask your supervisor when instructions are unclear or a task falls outside your competence. Careland will explain approved changes and provide necessary training. Management records approval and an effective date before issuing this edition to employees.</w:t>
      </w:r>
    </w:p>
    <w:p>
      <w:bookmarkStart w:id="2" w:name="handbook_2"/>
      <w:pPr>
        <w:pStyle w:val="Heading1"/>
      </w:pPr>
      <w:r>
        <w:t>2 Hiring registration and orientation</w:t>
      </w:r>
      <w:bookmarkEnd w:id="2"/>
    </w:p>
    <w:p>
      <w:r>
        <w:t>Provide accurate information about your qualifications, work history and ability to perform the essential role. Careland verifies relevant identity, work eligibility, references, screening and role-specific requirements before independent assignment.</w:t>
      </w:r>
    </w:p>
    <w:p>
      <w:r>
        <w:t>If employed as a health care aide, maintain the applicable current CLHA registration and permit. Tell management promptly about any expiry, condition, restriction, investigation outcome requiring employer disclosure or change affecting your work. Provisional or transitional registration may require supervision.</w:t>
      </w:r>
    </w:p>
    <w:p>
      <w:r>
        <w:t>Complete required orientation and demonstrate competence for each assigned task and equipment item. A certificate, previous job or client request does not authorize every task. Do not perform an affected task while required authorization, competence or supervision is missing.</w:t>
      </w:r>
    </w:p>
    <w:p>
      <w:r>
        <w:t>Orientation includes consent, client rights, privacy, infection control, safe mobility, medication limits, emergencies, working alone and workplace reporting. Ask for language or accessibility support when needed. Record mandatory training time accurately for payroll.</w:t>
      </w:r>
    </w:p>
    <w:p>
      <w:r>
        <w:t>Before your first independent visit, confirm your supervisor, after-hours contact, independent complaint route, care plan, site hazards, access arrangements and check-in procedure.</w:t>
      </w:r>
    </w:p>
    <w:p>
      <w:bookmarkStart w:id="3" w:name="handbook_3"/>
      <w:pPr>
        <w:pStyle w:val="Heading1"/>
      </w:pPr>
      <w:r>
        <w:t>3 Scheduling attendance and communication</w:t>
      </w:r>
      <w:bookmarkEnd w:id="3"/>
    </w:p>
    <w:p>
      <w:r>
        <w:t>Work the shifts you have accepted and confirm the current roster through the approved system. Review assigned tasks and allow sufficient time for agreed travel and handover. Only authorized management may change a client assignment or promise additional service.</w:t>
      </w:r>
    </w:p>
    <w:p>
      <w:r>
        <w:t>Tell the scheduler as soon as you know you will be late or unable to attend, using the designated contact and backup. Give the practical information needed to arrange coverage while keeping medical details private. An unanswered message is not confirmation that replacement care is arranged.</w:t>
      </w:r>
    </w:p>
    <w:p>
      <w:r>
        <w:t>If a client is not home or does not answer, follow the individual no-answer plan and notify the supervisor. Assess the possibility of a dependent person at risk; do not simply leave without the agreed escalation.</w:t>
      </w:r>
    </w:p>
    <w:p>
      <w:r>
        <w:t>Do not arrange a private substitute or ask an unapproved family member to perform Careland duties. A replacement must be qualified, authorized and informed of the current plan and hazards.</w:t>
      </w:r>
    </w:p>
    <w:p>
      <w:r>
        <w:t>Report fatigue or schedule pressures that make care unsafe. Overnight, live-in and 24-hour arrangements require an approved staffing and relief plan. Client cancellation or hospital admission must be reported so scheduling and any lawful employment consequences can be addressed.</w:t>
      </w:r>
    </w:p>
    <w:p>
      <w:bookmarkStart w:id="4" w:name="handbook_4"/>
      <w:pPr>
        <w:pStyle w:val="Heading1"/>
      </w:pPr>
      <w:r>
        <w:t>4 Timekeeping wages and payroll concerns</w:t>
      </w:r>
      <w:bookmarkEnd w:id="4"/>
    </w:p>
    <w:p>
      <w:r>
        <w:t>Record actual start and end times, breaks, work between visits, required training and other compensable time through the approved process. Never sign for another worker, sign a visit in advance or change a record to match a scheduled duration that was not worked.</w:t>
      </w:r>
    </w:p>
    <w:p>
      <w:r>
        <w:t>Your written terms and the payroll setup record identify your rate, pay period and payday. Careland applies applicable minimum wage, overtime, vacation, general holiday, rest and minimum-pay rules. Alberta has caregiver-specific exceptions, so payroll must verify the actual role and shift pattern.</w:t>
      </w:r>
    </w:p>
    <w:p>
      <w:r>
        <w:t>Seek authorization for additional work where feasible, but record all work actually performed. A prior-approval rule does not remove statutory pay entitlement. Notify the supervisor promptly when client safety requires unexpected work.</w:t>
      </w:r>
    </w:p>
    <w:p>
      <w:r>
        <w:t>Review each earnings statement and report errors with the pay period, hours or item concerned. Management records the concern, checks source records and explains any correction. Use the employee complaint route if the matter is unresolved or the usual recipient is involved.</w:t>
      </w:r>
    </w:p>
    <w:p>
      <w:r>
        <w:t>Only lawful deductions may be made. Do not assume a client complaint, damaged property, missing keys or a late timesheet authorizes a wage deduction. Careland must assess the applicable rules and any valid authorization.</w:t>
      </w:r>
    </w:p>
    <w:p>
      <w:r>
        <w:t>A delayed client or payer payment does not remove Careland's obligation to pay earned wages. Keep banking and payroll information in the designated secure process rather than a client or staff group chat.</w:t>
      </w:r>
    </w:p>
    <w:p>
      <w:bookmarkStart w:id="5" w:name="handbook_5"/>
      <w:pPr>
        <w:pStyle w:val="Heading1"/>
      </w:pPr>
      <w:r>
        <w:t>5 Breaks rest travel and expenses</w:t>
      </w:r>
      <w:bookmarkEnd w:id="5"/>
    </w:p>
    <w:p>
      <w:r>
        <w:t>Arrange breaks and coverage according to the client's needs, the approved schedule and applicable employment rules. Tell the supervisor if you cannot safely take an expected break; record what occurred. Do not record an unpaid break while continuing to provide required work.</w:t>
      </w:r>
    </w:p>
    <w:p>
      <w:r>
        <w:t>Confirm travel expectations in your employment terms. Record required travel between assignments and related work accurately so payroll can apply the correct rules. Do not assume every journey has the same pay treatment.</w:t>
      </w:r>
    </w:p>
    <w:p>
      <w:r>
        <w:t>Careland's current service plan excludes transporting clients. Do not drive a client in your own or another vehicle because a family asks. Appointment accompaniment must follow a separately agreed arrangement that remains within scope.</w:t>
      </w:r>
    </w:p>
    <w:p>
      <w:r>
        <w:t>Obtain approval for reimbursable business purchases and keep itemized receipts. The written expense arrangement identifies eligible items, limits, approval and submission route; the handbook does not set an unconfirmed mileage rate or allowance.</w:t>
      </w:r>
    </w:p>
    <w:p>
      <w:r>
        <w:t>Never use a client's funds or property to pay your personal work expenses. Client shopping follows the authorized spending and receipt procedure in the operations manual.</w:t>
      </w:r>
    </w:p>
    <w:p>
      <w:bookmarkStart w:id="6" w:name="handbook_6"/>
      <w:pPr>
        <w:pStyle w:val="Heading1"/>
      </w:pPr>
      <w:r>
        <w:t>6 Vacation leave and accommodation</w:t>
      </w:r>
      <w:bookmarkEnd w:id="6"/>
    </w:p>
    <w:p>
      <w:r>
        <w:t>Request planned vacation or other time away through the designated supervisor as early as practicable so coverage can be arranged. Careland applies statutory vacation time and pay and any greater written entitlement. Record the approved dates and payroll treatment.</w:t>
      </w:r>
    </w:p>
    <w:p>
      <w:r>
        <w:t>Job-protected leaves have different eligibility, notice, evidence, duration and pay rules. Notify management of the type of need and proposed dates as soon as reasonably possible; an emergency may prevent advance notice. Careland checks the current Alberta rules for the actual leave.</w:t>
      </w:r>
    </w:p>
    <w:p>
      <w:r>
        <w:t>Do not assume that a protected leave is paid or that an internal approval process can remove a statutory entitlement. Management provides the relevant information and records any required notices while protecting privacy.</w:t>
      </w:r>
    </w:p>
    <w:p>
      <w:r>
        <w:t>If a disability, religious need, pregnancy, family-status need or another protected ground creates a barrier, request accommodation verbally or in writing. Explain the functional need and relevant restrictions; a diagnosis or full medical history is generally not required.</w:t>
      </w:r>
    </w:p>
    <w:p>
      <w:r>
        <w:t>Careland considers reasonable accommodation to the point of undue hardship, with the person's participation. Interim arrangements, options, reasons and review dates are documented. Use the complaint route if accommodation is not addressed fairly.</w:t>
      </w:r>
    </w:p>
    <w:p>
      <w:r>
        <w:t>Before returning after a significant health or functional change, discuss any work restrictions and safe duties. Share only necessary functional information with those arranging the work.</w:t>
      </w:r>
    </w:p>
    <w:p>
      <w:bookmarkStart w:id="7" w:name="handbook_7"/>
      <w:pPr>
        <w:pStyle w:val="Heading1"/>
      </w:pPr>
      <w:r>
        <w:t>7 Providing authorized respectful care</w:t>
      </w:r>
      <w:bookmarkEnd w:id="7"/>
    </w:p>
    <w:p>
      <w:r>
        <w:t>Read the current plan before each visit and confirm the client, tasks and required equipment. Explain what you propose to do and seek consent. A client may decline care; pause, offer an appropriate alternative and report a safety concern.</w:t>
      </w:r>
    </w:p>
    <w:p>
      <w:r>
        <w:t>Respect privacy, culture, communication preferences and the person's own abilities. Do not assume that a relative may make every decision or receive all information. Management verifies any substitute decision-making authority.</w:t>
      </w:r>
    </w:p>
    <w:p>
      <w:r>
        <w:t>Provide personal support only at the assessed assistance level and within your competence. Careland's current exclusions include injections, catheter care, manual lifting and client transportation. Report a request beyond scope rather than promising it.</w:t>
      </w:r>
    </w:p>
    <w:p>
      <w:r>
        <w:t>Medication reminders, assistance and administration are different tasks. Follow only the written authorized support. Never independently prescribe, change, crush, conceal or double a medication dose. Seek professional or emergency help for discrepancies or suspected reactions.</w:t>
      </w:r>
    </w:p>
    <w:p>
      <w:r>
        <w:t>If mobility, swallowing, cognition or another need changes, stop an unsafe task and contact the supervisor. Do not improvise a transfer, use unapproved equipment or rely on a family member to replace a required trained worker.</w:t>
      </w:r>
    </w:p>
    <w:p>
      <w:r>
        <w:t>Before leaving, check agreed essentials, safe access and any pending handover. Document actual care, refusals, observations and advice promptly and objectively.</w:t>
      </w:r>
    </w:p>
    <w:p>
      <w:bookmarkStart w:id="8" w:name="handbook_8"/>
      <w:pPr>
        <w:pStyle w:val="Heading1"/>
      </w:pPr>
      <w:r>
        <w:t>8 Safety infection prevention and working alone</w:t>
      </w:r>
      <w:bookmarkEnd w:id="8"/>
    </w:p>
    <w:p>
      <w:r>
        <w:t>Review the site's hazards and required controls before attending. Use the agreed check-in system, confirm that a monitor is assigned and test the communication method. Tell management if the controls cannot work at the actual site.</w:t>
      </w:r>
    </w:p>
    <w:p>
      <w:r>
        <w:t>Use hand hygiene, task-appropriate protective equipment and approved cleaning methods. Keep clean supplies separate from used equipment. Report infectious symptoms, exposure, equipment faults and supply gaps before continuing affected work.</w:t>
      </w:r>
    </w:p>
    <w:p>
      <w:r>
        <w:t>Report hazards including violence, harassment, domestic threats, animals, unsafe visitors, smoke, chemicals and transfer risks. Do not accept an uncontrolled serious hazard as an ordinary part of home care.</w:t>
      </w:r>
    </w:p>
    <w:p>
      <w:r>
        <w:t>If threatened, stop the task, create distance, move to safety and obtain help. Call 911 for immediate danger. Notify management as soon as safe, and advise responders or management of any dependent client still at risk.</w:t>
      </w:r>
    </w:p>
    <w:p>
      <w:r>
        <w:t>Follow the applicable dangerous-work reporting and assessment process. Careland will assess the concern and controls; retaliation for reporting safety concerns is prohibited.</w:t>
      </w:r>
    </w:p>
    <w:p>
      <w:r>
        <w:t>Report an injury or adverse symptom promptly and seek appropriate medical help. After violence or harassment, management advises you to consult a health professional of your choice. Return to affected work only when the controls and duties have been reassessed.</w:t>
      </w:r>
    </w:p>
    <w:p>
      <w:bookmarkStart w:id="9" w:name="handbook_9"/>
      <w:pPr>
        <w:pStyle w:val="Heading1"/>
      </w:pPr>
      <w:r>
        <w:t>9 Emergencies incidents and safeguarding</w:t>
      </w:r>
      <w:bookmarkEnd w:id="9"/>
    </w:p>
    <w:p>
      <w:r>
        <w:t>For a medical emergency, fire, suspected gas leak, missing at-risk client or other immediate danger, start the emergency response under the client's plan. Call 911 when required and provide first aid only within your training.</w:t>
      </w:r>
    </w:p>
    <w:p>
      <w:r>
        <w:t>After initiating urgent help, notify the on-call manager. Follow the agreed handover or evacuation arrangements and tell responders about a dependent person who remains at risk. Do not independently certify death or infer a medical instruction from a diagnosis.</w:t>
      </w:r>
    </w:p>
    <w:p>
      <w:r>
        <w:t>Report falls, errors, omissions, abuse allegations, privacy breaches, threats and near misses as soon as it is safe. Complete the factual incident record before the end of the shift when feasible and explain a late entry.</w:t>
      </w:r>
    </w:p>
    <w:p>
      <w:r>
        <w:t>Listen respectfully to an abuse disclosure, preserve the person's own words and do not promise secrecy. Do not conduct your own investigation, question a suspected abuser in a way that increases risk or alter original records.</w:t>
      </w:r>
    </w:p>
    <w:p>
      <w:r>
        <w:t>Management assesses external reporting promptly, but an internal process does not replace an individual reporting duty. Use the independent alternate if the concern involves your manager or the owner. Consult the relevant current safeguarding and reporting guidance where duties are uncertain.</w:t>
      </w:r>
    </w:p>
    <w:p>
      <w:r>
        <w:t>Careland reviews contributing factors and assigns corrective action. Good-faith reporting is protected even when the concern is not ultimately substantiated.</w:t>
      </w:r>
    </w:p>
    <w:p>
      <w:bookmarkStart w:id="10" w:name="handbook_10"/>
      <w:pPr>
        <w:pStyle w:val="Heading1"/>
      </w:pPr>
      <w:r>
        <w:t>10 Privacy records devices and social media</w:t>
      </w:r>
      <w:bookmarkEnd w:id="10"/>
    </w:p>
    <w:p>
      <w:r>
        <w:t>Access client or staff information only for an authorized work purpose. Keep paper records secure, use individual approved accounts and verify a recipient before sharing. Disclose only information necessary for the authorized purpose.</w:t>
      </w:r>
    </w:p>
    <w:p>
      <w:r>
        <w:t>Use the approved method for schedules, care plans, visit records and confidential reporting. Do not use public group chats or personal social-media accounts for client details. Personal devices or accounts require specific authorization and suitable safeguards.</w:t>
      </w:r>
    </w:p>
    <w:p>
      <w:r>
        <w:t>Record facts promptly, identify your entry and preserve an audit trail for corrections. Do not copy an earlier note as if it describes today's care, sign care not provided or delete evidence after a complaint.</w:t>
      </w:r>
    </w:p>
    <w:p>
      <w:r>
        <w:t>Do not photograph, film or record a client on a personal device, post care stories or use a client's name in advertising without the required separate authorization and management approval.</w:t>
      </w:r>
    </w:p>
    <w:p>
      <w:r>
        <w:t>Report a lost device, misdirected message, unauthorized access or other suspected breach immediately. Preserve evidence and follow the privacy officer's containment instructions; do not quietly delete the event to avoid reporting.</w:t>
      </w:r>
    </w:p>
    <w:p>
      <w:r>
        <w:t>Refer access requests, correction requests, subpoenas and media questions to the designated manager or privacy officer. Return all records and remove access as directed when your role or employment changes.</w:t>
      </w:r>
    </w:p>
    <w:p>
      <w:bookmarkStart w:id="11" w:name="handbook_11"/>
      <w:pPr>
        <w:pStyle w:val="Heading1"/>
      </w:pPr>
      <w:r>
        <w:t>11 Professional boundaries property and conflicts</w:t>
      </w:r>
      <w:bookmarkEnd w:id="11"/>
    </w:p>
    <w:p>
      <w:r>
        <w:t>Maintain respectful professional boundaries with clients, families and colleagues. Do not borrow or lend money, seek gifts, use a client's possessions for personal benefit or become involved in a client's will or personal finances.</w:t>
      </w:r>
    </w:p>
    <w:p>
      <w:r>
        <w:t>Declare gifts, outside work for a current client, personal relationships and other possible conflicts to management before accepting an arrangement. Do not solicit private care work using Careland client information.</w:t>
      </w:r>
    </w:p>
    <w:p>
      <w:r>
        <w:t>For authorized shopping, agree the limit and payment method, keep receipts, return change and complete the reconciliation. Do not retain a client's bank card or PIN or use a client's account for your expenses.</w:t>
      </w:r>
    </w:p>
    <w:p>
      <w:r>
        <w:t>Keep keys and access codes secure, use them only for approved visits and return them when requested. Report loss or unauthorized access immediately; do not share a code with a private substitute.</w:t>
      </w:r>
    </w:p>
    <w:p>
      <w:r>
        <w:t>Use company equipment responsibly and report damage or faults. Management assesses any property issue fairly and applies lawful payroll rules separately; a property concern does not itself justify withholding wages.</w:t>
      </w:r>
    </w:p>
    <w:p>
      <w:r>
        <w:t>Attend fit for duty and report a limitation that could affect safe work. Careland addresses accommodation needs privately while maintaining safe tasks and appropriate boundaries.</w:t>
      </w:r>
    </w:p>
    <w:p>
      <w:bookmarkStart w:id="12" w:name="handbook_12"/>
      <w:pPr>
        <w:pStyle w:val="Heading1"/>
      </w:pPr>
      <w:r>
        <w:t>12 Respectful workplace and prohibited conduct</w:t>
      </w:r>
      <w:bookmarkEnd w:id="12"/>
    </w:p>
    <w:p>
      <w:r>
        <w:t>Careland prohibits sexual harassment, workplace harassment, bullying, discrimination, violence and retaliation. The rules apply to owners, managers, employees, applicants, contractors, clients, relatives and visitors in work-related settings and communications.</w:t>
      </w:r>
    </w:p>
    <w:p>
      <w:r>
        <w:t>Prohibited sexual conduct can include unwanted comments, messages, advances, touching, sexual images or a demand for sexual attention in exchange for work or favourable treatment. Serious single incidents can require action; reporting does not require repeated conduct or a prior confrontation.</w:t>
      </w:r>
    </w:p>
    <w:p>
      <w:r>
        <w:t>Discriminatory decisions or harassment connected to protected grounds are prohibited. Raise accommodation needs through a private route. Management must assess client staffing preferences rather than automatically accepting a discriminatory request.</w:t>
      </w:r>
    </w:p>
    <w:p>
      <w:r>
        <w:t>Workplace safety duties apply when the conduct comes from a client or family member. Cognitive impairment may affect the care response, but workers must still receive effective protection and appropriate support.</w:t>
      </w:r>
    </w:p>
    <w:p>
      <w:r>
        <w:t>Report a concern through either completed contact on the reporting page. You may bypass anyone involved. The detailed workplace policy explains examples, urgent protection, fair investigation and external options.</w:t>
      </w:r>
    </w:p>
    <w:p>
      <w:r>
        <w:t>Keep confidential information private while using legitimate support, medical advice, representation or external reporting. Confidentiality instructions do not require silence about a protected concern.</w:t>
      </w:r>
    </w:p>
    <w:p>
      <w:bookmarkStart w:id="13" w:name="handbook_13"/>
      <w:pPr>
        <w:pStyle w:val="Heading1"/>
      </w:pPr>
      <w:r>
        <w:t>13 Reporting complaints investigation and review</w:t>
      </w:r>
      <w:bookmarkEnd w:id="13"/>
    </w:p>
    <w:p>
      <w:r>
        <w:t>Report verbally or in writing to the designated manager or independent alternate. A form or signature is optional, and witnesses and anonymous reports are accepted. Owner-related concerns go to the independent external recipient and investigator.</w:t>
      </w:r>
    </w:p>
    <w:p>
      <w:r>
        <w:t>Include the events, dates, people, witnesses, available evidence, immediate risks and a safe contact method. Preserve original records without accessing information you are not authorized to see. Tell the recipient about any retaliation or conflict.</w:t>
      </w:r>
    </w:p>
    <w:p>
      <w:r>
        <w:t>Careland assesses immediate safety at receipt and aims to acknowledge within two business days, identify an investigator within five business days and update at least every ten business days. The internal target for an employee complaint outcome is thirty calendar days, with an explanation and revised date if more time is needed.</w:t>
      </w:r>
    </w:p>
    <w:p>
      <w:r>
        <w:t>The investigator is competent, impartial and free of conflict. Parties are heard separately, relevant evidence is considered and each person has a meaningful opportunity to respond. No one must confront the other party or agree to mediation.</w:t>
      </w:r>
    </w:p>
    <w:p>
      <w:r>
        <w:t>Internal findings use the balance of probabilities, with reasons for each allegation. An allegation is not a finding; insufficient proof does not itself make a report dishonest. Relevant results and corrective action are communicated separately to the parties.</w:t>
      </w:r>
    </w:p>
    <w:p>
      <w:r>
        <w:t>A review may be requested within ten business days for new evidence, an important process concern or a conflict. A different reviewer is used where possible and an independent reviewer where management is implicated. The target review decision is fifteen business days, with an explained extension if needed.</w:t>
      </w:r>
    </w:p>
    <w:p>
      <w:r>
        <w:t>Retaliation includes threats, punitive loss of shifts, exclusion or pressure for reporting honestly, supporting someone or participating in a process. Report it separately. Internal timelines never delay required protection or an external filing deadline.</w:t>
      </w:r>
    </w:p>
    <w:p>
      <w:bookmarkStart w:id="14" w:name="handbook_14"/>
      <w:pPr>
        <w:pStyle w:val="Heading1"/>
      </w:pPr>
      <w:r>
        <w:t>14 Performance concerns and fair corrective action</w:t>
      </w:r>
      <w:bookmarkEnd w:id="14"/>
    </w:p>
    <w:p>
      <w:r>
        <w:t>Careland explains duties, provides appropriate instruction and supervision and gives feedback on the actual work. Tell your supervisor about unclear expectations, training gaps, workload or equipment affecting performance.</w:t>
      </w:r>
    </w:p>
    <w:p>
      <w:r>
        <w:t>Management assesses a concern fairly, reviews the relevant records and hears your response. It considers whether the issue involves competence, misconduct, a system failure or an accommodation need before deciding action.</w:t>
      </w:r>
    </w:p>
    <w:p>
      <w:r>
        <w:t>Depending on the findings, action may include clarification, coaching, supervised practice, retraining, changed duties or proportionate discipline. Serious conduct may require a different response; the handbook does not promise that every case follows a fixed sequence.</w:t>
      </w:r>
    </w:p>
    <w:p>
      <w:r>
        <w:t>Temporary safety measures during an investigation do not establish guilt. Management must assess pay and employment consequences under the applicable law and written terms rather than treating an allegation as an automatic termination.</w:t>
      </w:r>
    </w:p>
    <w:p>
      <w:r>
        <w:t>Harassment, discrimination, safety or retaliation concerns use the independent complaint process even when they arise during a performance review. Management may not use performance procedures to punish a protected report.</w:t>
      </w:r>
    </w:p>
    <w:p>
      <w:r>
        <w:t>Any dismissal or major employment change requires appropriate review of facts, contract terms, statutory minimums, accommodation and potential additional legal obligations. No employee acknowledgement waives those rights.</w:t>
      </w:r>
    </w:p>
    <w:p>
      <w:bookmarkStart w:id="15" w:name="handbook_15"/>
      <w:pPr>
        <w:pStyle w:val="Heading1"/>
      </w:pPr>
      <w:r>
        <w:t>15 Leaving employment and continuing responsibilities</w:t>
      </w:r>
      <w:bookmarkEnd w:id="15"/>
    </w:p>
    <w:p>
      <w:r>
        <w:t>Discuss resignation or other departure arrangements with management and provide notice as required by the applicable law and your valid agreement. Urgent safety and other legal exceptions must be assessed individually.</w:t>
      </w:r>
    </w:p>
    <w:p>
      <w:r>
        <w:t>Management explains the last shift, client handover, return of keys and equipment, access removal and final payroll process. Do not make a private arrangement to continue a Careland assignment using confidential client records.</w:t>
      </w:r>
    </w:p>
    <w:p>
      <w:r>
        <w:t>Record outstanding care tasks and ensure an authorized person accepts the handover. Preserve records and do not erase messages or notes relevant to an incident, complaint or legal hold.</w:t>
      </w:r>
    </w:p>
    <w:p>
      <w:r>
        <w:t>Careland pays final earnings under the applicable deadlines, including amounts owed for wages and other statutory or written entitlements. Any termination notice or pay must be assessed against both minimum standards and applicable additional legal rights.</w:t>
      </w:r>
    </w:p>
    <w:p>
      <w:r>
        <w:t>Confidentiality and appropriate handling of client and employee information continue after employment ends. You may still obtain advice, make a protected report or participate in an investigation.</w:t>
      </w:r>
    </w:p>
    <w:p>
      <w:r>
        <w:t>Provide a safe method for receiving final employment documents and raise any discrepancy through the designated contact or relevant external authority.</w:t>
      </w:r>
    </w:p>
    <w:p>
      <w:pPr>
        <w:pStyle w:val="Heading1"/>
        <w:pageBreakBefore/>
      </w:pPr>
      <w:r>
        <w:t>Employment details record</w:t>
      </w:r>
    </w:p>
    <w:p>
      <w:pPr>
        <w:pStyle w:val="Small"/>
      </w:pPr>
      <w:r>
        <w:t>Complete consistently with the signed employment agreement and applicable minimum rights. Do not include banking or other sensitive payroll identifiers in a public copy.</w:t>
      </w:r>
    </w:p>
    <w:p>
      <w:pPr>
        <w:pStyle w:val="FieldLabel"/>
      </w:pPr>
      <w:r>
        <w:t>Employee name role and start date</w:t>
      </w:r>
    </w:p>
    <w:p>
      <w:pPr>
        <w:pStyle w:val="ResponseLine"/>
        <w:spacing w:line="240" w:lineRule="auto"/>
        <w:pBdr>
          <w:bottom w:val="single" w:sz="3" w:color="B8BEC3"/>
        </w:pBdr>
      </w:pPr>
      <w:r>
        <w:rPr>
          <w:sz w:val="22"/>
        </w:rPr>
        <w:t xml:space="preserve"> </w:t>
      </w:r>
    </w:p>
    <w:p>
      <w:pPr>
        <w:pStyle w:val="FieldLabel"/>
      </w:pPr>
      <w:r>
        <w:t>Supervisor on call contact and independent alternate</w:t>
      </w:r>
    </w:p>
    <w:p>
      <w:pPr>
        <w:pStyle w:val="ResponseLine"/>
        <w:spacing w:line="240" w:lineRule="auto"/>
        <w:pBdr>
          <w:bottom w:val="single" w:sz="3" w:color="B8BEC3"/>
        </w:pBdr>
      </w:pPr>
      <w:r>
        <w:rPr>
          <w:sz w:val="22"/>
        </w:rPr>
        <w:t xml:space="preserve"> </w:t>
      </w:r>
    </w:p>
    <w:p>
      <w:pPr>
        <w:pStyle w:val="FieldLabel"/>
      </w:pPr>
      <w:r>
        <w:t>Written agreement date and current pay rate</w:t>
      </w:r>
    </w:p>
    <w:p>
      <w:pPr>
        <w:pStyle w:val="ResponseLine"/>
        <w:spacing w:line="240" w:lineRule="auto"/>
        <w:pBdr>
          <w:bottom w:val="single" w:sz="3" w:color="B8BEC3"/>
        </w:pBdr>
      </w:pPr>
      <w:r>
        <w:rPr>
          <w:sz w:val="22"/>
        </w:rPr>
        <w:t xml:space="preserve"> </w:t>
      </w:r>
    </w:p>
    <w:p>
      <w:pPr>
        <w:pStyle w:val="FieldLabel"/>
      </w:pPr>
      <w:r>
        <w:t>Pay period payday and time submission method</w:t>
      </w:r>
    </w:p>
    <w:p>
      <w:pPr>
        <w:pStyle w:val="ResponseLine"/>
        <w:spacing w:line="240" w:lineRule="auto"/>
        <w:pBdr>
          <w:bottom w:val="single" w:sz="3" w:color="B8BEC3"/>
        </w:pBdr>
      </w:pPr>
      <w:r>
        <w:rPr>
          <w:sz w:val="22"/>
        </w:rPr>
        <w:t xml:space="preserve"> </w:t>
      </w:r>
    </w:p>
    <w:p>
      <w:pPr>
        <w:pStyle w:val="FieldLabel"/>
      </w:pPr>
      <w:r>
        <w:t>Hours availability shift arrangements and required supervision</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Travel expenses and approval arrangements</w:t>
      </w:r>
    </w:p>
    <w:p>
      <w:pPr>
        <w:pStyle w:val="ResponseLine"/>
        <w:spacing w:line="240" w:lineRule="auto"/>
        <w:pBdr>
          <w:bottom w:val="single" w:sz="3" w:color="B8BEC3"/>
        </w:pBdr>
      </w:pPr>
      <w:r>
        <w:rPr>
          <w:sz w:val="22"/>
        </w:rPr>
        <w:t xml:space="preserve"> </w:t>
      </w:r>
    </w:p>
    <w:p>
      <w:pPr>
        <w:pStyle w:val="FieldLabel"/>
      </w:pPr>
      <w:r>
        <w:t>Vacation leave and any confirmed written benefits</w:t>
      </w:r>
    </w:p>
    <w:p>
      <w:pPr>
        <w:pStyle w:val="ResponseLine"/>
        <w:spacing w:line="240" w:lineRule="auto"/>
        <w:pBdr>
          <w:bottom w:val="single" w:sz="3" w:color="B8BEC3"/>
        </w:pBdr>
      </w:pPr>
      <w:r>
        <w:rPr>
          <w:sz w:val="22"/>
        </w:rPr>
        <w:t xml:space="preserve"> </w:t>
      </w:r>
    </w:p>
    <w:p>
      <w:pPr>
        <w:pStyle w:val="FieldLabel"/>
      </w:pPr>
      <w:r>
        <w:t>Credential conditions renewal dates and training still required</w:t>
      </w:r>
    </w:p>
    <w:p>
      <w:pPr>
        <w:pStyle w:val="ResponseLine"/>
        <w:spacing w:line="240" w:lineRule="auto"/>
        <w:pBdr>
          <w:bottom w:val="single" w:sz="3" w:color="B8BEC3"/>
        </w:pBdr>
      </w:pPr>
      <w:r>
        <w:rPr>
          <w:sz w:val="22"/>
        </w:rPr>
        <w:t xml:space="preserve"> </w:t>
      </w:r>
    </w:p>
    <w:p>
      <w:pPr>
        <w:pStyle w:val="FieldLabel"/>
      </w:pPr>
      <w:r>
        <w:t>Questions follow up owner and due date</w:t>
      </w:r>
    </w:p>
    <w:p>
      <w:pPr>
        <w:pStyle w:val="ResponseLine"/>
        <w:spacing w:line="240" w:lineRule="auto"/>
        <w:pBdr>
          <w:bottom w:val="single" w:sz="3" w:color="B8BEC3"/>
        </w:pBdr>
      </w:pPr>
      <w:r>
        <w:rPr>
          <w:sz w:val="22"/>
        </w:rPr>
        <w:t xml:space="preserve"> </w:t>
      </w:r>
    </w:p>
    <w:p>
      <w:pPr>
        <w:pStyle w:val="Heading1"/>
        <w:pageBreakBefore/>
      </w:pPr>
      <w:r>
        <w:t>Employee acknowledgement</w:t>
      </w:r>
    </w:p>
    <w:p>
      <w:r>
        <w:t>I acknowledge receiving the Careland Employee Handbook, the applicable workplace policies and the reporting contacts. I have had the opportunity to ask questions and understand how to seek clarification, report a concern and obtain urgent help.</w:t>
      </w:r>
    </w:p>
    <w:p>
      <w:r>
        <w:t>This acknowledgement records receipt and orientation. It does not waive my legal rights, confirm agreement with an investigation finding or authorize tasks outside my competence and lawful authority.</w:t>
      </w:r>
    </w:p>
    <w:p>
      <w:pPr>
        <w:pStyle w:val="FieldLabel"/>
      </w:pPr>
      <w:r>
        <w:t>Employee name role and handbook version</w:t>
      </w:r>
    </w:p>
    <w:p>
      <w:pPr>
        <w:pStyle w:val="ResponseLine"/>
        <w:spacing w:line="240" w:lineRule="auto"/>
        <w:pBdr>
          <w:bottom w:val="single" w:sz="3" w:color="B8BEC3"/>
        </w:pBdr>
      </w:pPr>
      <w:r>
        <w:rPr>
          <w:sz w:val="22"/>
        </w:rPr>
        <w:t xml:space="preserve"> </w:t>
      </w:r>
    </w:p>
    <w:p>
      <w:pPr>
        <w:pStyle w:val="FieldLabel"/>
      </w:pPr>
      <w:r>
        <w:t>Date received orientation date and trainer</w:t>
      </w:r>
    </w:p>
    <w:p>
      <w:pPr>
        <w:pStyle w:val="ResponseLine"/>
        <w:spacing w:line="240" w:lineRule="auto"/>
        <w:pBdr>
          <w:bottom w:val="single" w:sz="3" w:color="B8BEC3"/>
        </w:pBdr>
      </w:pPr>
      <w:r>
        <w:rPr>
          <w:sz w:val="22"/>
        </w:rPr>
        <w:t xml:space="preserve"> </w:t>
      </w:r>
    </w:p>
    <w:p>
      <w:pPr>
        <w:pStyle w:val="FieldLabel"/>
      </w:pPr>
      <w:r>
        <w:t>Language accessibility or other orientation support</w:t>
      </w:r>
    </w:p>
    <w:p>
      <w:pPr>
        <w:pStyle w:val="ResponseLine"/>
        <w:spacing w:line="240" w:lineRule="auto"/>
        <w:pBdr>
          <w:bottom w:val="single" w:sz="3" w:color="B8BEC3"/>
        </w:pBdr>
      </w:pPr>
      <w:r>
        <w:rPr>
          <w:sz w:val="22"/>
        </w:rPr>
        <w:t xml:space="preserve"> </w:t>
      </w:r>
    </w:p>
    <w:p>
      <w:pPr>
        <w:pStyle w:val="FieldLabel"/>
      </w:pPr>
      <w:r>
        <w:t>Questions restrictions or follow up training</w:t>
      </w:r>
    </w:p>
    <w:p>
      <w:pPr>
        <w:pStyle w:val="ResponseLine"/>
        <w:spacing w:line="240" w:lineRule="auto"/>
        <w:pBdr>
          <w:bottom w:val="single" w:sz="3" w:color="B8BEC3"/>
        </w:pBdr>
      </w:pPr>
      <w:r>
        <w:rPr>
          <w:sz w:val="22"/>
        </w:rPr>
        <w:t xml:space="preserve"> </w:t>
      </w:r>
    </w:p>
    <w:p>
      <w:pPr>
        <w:pStyle w:val="ResponseLine"/>
        <w:spacing w:line="240" w:lineRule="auto"/>
        <w:pBdr>
          <w:bottom w:val="single" w:sz="3" w:color="B8BEC3"/>
        </w:pBdr>
      </w:pPr>
      <w:r>
        <w:rPr>
          <w:sz w:val="22"/>
        </w:rPr>
        <w:t xml:space="preserve"> </w:t>
      </w:r>
    </w:p>
    <w:p>
      <w:pPr>
        <w:pStyle w:val="FieldLabel"/>
      </w:pPr>
      <w:r>
        <w:t>Employee signature and date</w:t>
      </w:r>
    </w:p>
    <w:p>
      <w:pPr>
        <w:pStyle w:val="ResponseLine"/>
        <w:spacing w:line="240" w:lineRule="auto"/>
        <w:pBdr>
          <w:bottom w:val="single" w:sz="3" w:color="B8BEC3"/>
        </w:pBdr>
      </w:pPr>
      <w:r>
        <w:rPr>
          <w:sz w:val="22"/>
        </w:rPr>
        <w:t xml:space="preserve"> </w:t>
      </w:r>
    </w:p>
    <w:p>
      <w:pPr>
        <w:pStyle w:val="FieldLabel"/>
      </w:pPr>
      <w:r>
        <w:t>Trainer or manager signature and date</w:t>
      </w:r>
    </w:p>
    <w:p>
      <w:pPr>
        <w:pStyle w:val="ResponseLine"/>
        <w:spacing w:line="240" w:lineRule="auto"/>
        <w:pBdr>
          <w:bottom w:val="single" w:sz="3" w:color="B8BEC3"/>
        </w:pBdr>
      </w:pPr>
      <w:r>
        <w:rPr>
          <w:sz w:val="22"/>
        </w:rPr>
        <w:t xml:space="preserve"> </w:t>
      </w:r>
    </w:p>
    <w:p>
      <w:pPr>
        <w:pStyle w:val="Heading1"/>
        <w:pageBreakBefore/>
      </w:pPr>
      <w:r>
        <w:t>Reference sources</w:t>
      </w:r>
    </w:p>
    <w:p>
      <w:r>
        <w:t>Reference check date 29 October 2026. Consult the current rules for the actual role, shift, leave and employment circumstances. Internal complaint response targets are Careland policy choices.</w:t>
      </w:r>
    </w:p>
    <w:p>
      <w:pPr>
        <w:pStyle w:val="Small"/>
      </w:pPr>
      <w:hyperlink r:id="rId12">
        <w:r>
          <w:rPr>
            <w:color w:val="173F5F"/>
            <w:u w:val="single"/>
          </w:rPr>
          <w:t>Alberta caregiver employment exceptions</w:t>
        </w:r>
      </w:hyperlink>
    </w:p>
    <w:p>
      <w:pPr>
        <w:pStyle w:val="Small"/>
      </w:pPr>
      <w:r>
        <w:t>https://www.alberta.ca/es-exceptions-caregivers</w:t>
      </w:r>
    </w:p>
    <w:p>
      <w:pPr>
        <w:pStyle w:val="Small"/>
      </w:pPr>
      <w:hyperlink r:id="rId13">
        <w:r>
          <w:rPr>
            <w:color w:val="173F5F"/>
            <w:u w:val="single"/>
          </w:rPr>
          <w:t>Alberta payment of earnings</w:t>
        </w:r>
      </w:hyperlink>
    </w:p>
    <w:p>
      <w:pPr>
        <w:pStyle w:val="Small"/>
      </w:pPr>
      <w:r>
        <w:t>https://www.alberta.ca/payment-earnings</w:t>
      </w:r>
    </w:p>
    <w:p>
      <w:pPr>
        <w:pStyle w:val="Small"/>
      </w:pPr>
      <w:hyperlink r:id="rId14">
        <w:r>
          <w:rPr>
            <w:color w:val="173F5F"/>
            <w:u w:val="single"/>
          </w:rPr>
          <w:t>Alberta job protected leaves</w:t>
        </w:r>
      </w:hyperlink>
    </w:p>
    <w:p>
      <w:pPr>
        <w:pStyle w:val="Small"/>
      </w:pPr>
      <w:r>
        <w:t>https://www.alberta.ca/job-protected-leaves</w:t>
      </w:r>
    </w:p>
    <w:p>
      <w:pPr>
        <w:pStyle w:val="Small"/>
      </w:pPr>
      <w:hyperlink r:id="rId15">
        <w:r>
          <w:rPr>
            <w:color w:val="173F5F"/>
            <w:u w:val="single"/>
          </w:rPr>
          <w:t>Alberta termination and lay off</w:t>
        </w:r>
      </w:hyperlink>
    </w:p>
    <w:p>
      <w:pPr>
        <w:pStyle w:val="Small"/>
      </w:pPr>
      <w:r>
        <w:t>https://www.alberta.ca/employment-standards-termination-and-lay-off</w:t>
      </w:r>
    </w:p>
    <w:p>
      <w:pPr>
        <w:pStyle w:val="Small"/>
      </w:pPr>
      <w:hyperlink r:id="rId16">
        <w:r>
          <w:rPr>
            <w:color w:val="173F5F"/>
            <w:u w:val="single"/>
          </w:rPr>
          <w:t>Alberta Human Rights Commission accommodation</w:t>
        </w:r>
      </w:hyperlink>
    </w:p>
    <w:p>
      <w:pPr>
        <w:pStyle w:val="Small"/>
      </w:pPr>
      <w:r>
        <w:t>https://www.albertahumanrights.ab.ca/issues-at-work/duty-to-accommodate-at-work/</w:t>
      </w:r>
    </w:p>
    <w:p>
      <w:pPr>
        <w:pStyle w:val="Small"/>
      </w:pPr>
      <w:hyperlink r:id="rId17">
        <w:r>
          <w:rPr>
            <w:color w:val="173F5F"/>
            <w:u w:val="single"/>
          </w:rPr>
          <w:t>Alberta Human Rights Commission harassment at work</w:t>
        </w:r>
      </w:hyperlink>
    </w:p>
    <w:p>
      <w:pPr>
        <w:pStyle w:val="Small"/>
      </w:pPr>
      <w:r>
        <w:t>https://www.albertahumanrights.ab.ca/issues-at-work/harassment-at-work/</w:t>
      </w:r>
    </w:p>
    <w:p>
      <w:pPr>
        <w:pStyle w:val="Small"/>
      </w:pPr>
      <w:hyperlink r:id="rId18">
        <w:r>
          <w:rPr>
            <w:color w:val="173F5F"/>
            <w:u w:val="single"/>
          </w:rPr>
          <w:t>Alberta OHS Code violence and harassment</w:t>
        </w:r>
      </w:hyperlink>
    </w:p>
    <w:p>
      <w:pPr>
        <w:pStyle w:val="Small"/>
      </w:pPr>
      <w:r>
        <w:t>https://search-ohs-laws.alberta.ca/legislation/occupational-health-and-safety-code/part-27-violence-and-harassment/</w:t>
      </w:r>
    </w:p>
    <w:p>
      <w:pPr>
        <w:pStyle w:val="Small"/>
      </w:pPr>
      <w:hyperlink r:id="rId19">
        <w:r>
          <w:rPr>
            <w:color w:val="173F5F"/>
            <w:u w:val="single"/>
          </w:rPr>
          <w:t>CLHA HCA regulation and registration checks</w:t>
        </w:r>
      </w:hyperlink>
    </w:p>
    <w:p>
      <w:pPr>
        <w:pStyle w:val="Small"/>
      </w:pPr>
      <w:r>
        <w:t>https://www.clha.com/hca/hcas/hca-faqs/</w:t>
      </w:r>
    </w:p>
    <w:p>
      <w:pPr>
        <w:pStyle w:val="Small"/>
      </w:pPr>
      <w:r>
        <w:t>Management must approve any handbook revision, explain changes to affected employees and update orientation records. Record approval and the effective date on the reporting and approval page.</w:t>
      </w:r>
    </w:p>
    <w:sectPr w:rsidR="00FC693F" w:rsidRPr="0006063C" w:rsidSect="00034616">
      <w:headerReference w:type="default" r:id="rId9"/>
      <w:footerReference w:type="default" r:id="rId10"/>
      <w:pgSz w:w="12240" w:h="15840"/>
      <w:pgMar w:top="1037" w:right="1123" w:bottom="979" w:left="1123" w:header="403" w:footer="40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6"/>
      </w:rPr>
      <w:t xml:space="preserve">Careland employee handbook  |  Page </w:t>
    </w:r>
    <w:fldSimple w:instr="PAGE">
      <w:r>
        <w:t>1</w:t>
      </w:r>
    </w:fldSimple>
    <w:r>
      <w:rPr>
        <w:sz w:val="16"/>
      </w:rPr>
      <w:t xml:space="preserve"> of </w:t>
    </w:r>
    <w:fldSimple w:instr="NUMPAGES">
      <w:r>
        <w:t>1</w:t>
      </w:r>
    </w:fldSimpl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Small"/>
    </w:pPr>
    <w:r>
      <w:rPr>
        <w:sz w:val="16"/>
      </w:rPr>
      <w:t>CARELAND EMPLOYEE HANDBOOK</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after="120" w:line="259" w:lineRule="auto"/>
    </w:pPr>
    <w:rPr>
      <w:rFonts w:ascii="Calibri" w:hAnsi="Calibri"/>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80" w:after="120"/>
      <w:outlineLvl w:val="0"/>
    </w:pPr>
    <w:rPr>
      <w:rFonts w:asciiTheme="majorHAnsi" w:eastAsiaTheme="majorEastAsia" w:hAnsiTheme="majorHAnsi" w:cstheme="majorBidi" w:ascii="Calibri" w:hAnsi="Calibri"/>
      <w:b/>
      <w:bCs/>
      <w:color w:val="000000"/>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000000"/>
      <w:sz w:val="23"/>
      <w:szCs w:val="26"/>
    </w:rPr>
  </w:style>
  <w:style w:type="paragraph" w:styleId="Heading3">
    <w:name w:val="heading 3"/>
    <w:basedOn w:val="Normal"/>
    <w:next w:val="Normal"/>
    <w:link w:val="Heading3Char"/>
    <w:uiPriority w:val="9"/>
    <w:unhideWhenUsed/>
    <w:qFormat/>
    <w:rsid w:val="00FC693F"/>
    <w:pPr>
      <w:keepNext/>
      <w:keepLines/>
      <w:spacing w:before="80" w:after="120"/>
      <w:outlineLvl w:val="2"/>
    </w:pPr>
    <w:rPr>
      <w:rFonts w:asciiTheme="majorHAnsi" w:eastAsiaTheme="majorEastAsia" w:hAnsiTheme="majorHAnsi" w:cstheme="majorBidi" w:ascii="Calibri" w:hAnsi="Calibri"/>
      <w:b/>
      <w:bCs/>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280" w:line="240" w:lineRule="auto" w:before="80"/>
      <w:contextualSpacing/>
    </w:pPr>
    <w:rPr>
      <w:rFonts w:asciiTheme="majorHAnsi" w:eastAsiaTheme="majorEastAsia" w:hAnsiTheme="majorHAnsi" w:cstheme="majorBidi" w:ascii="Calibri" w:hAnsi="Calibri"/>
      <w:b/>
      <w:color w:val="000000"/>
      <w:spacing w:val="5"/>
      <w:kern w:val="28"/>
      <w:sz w:val="5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after="120" w:before="80"/>
    </w:pPr>
    <w:rPr>
      <w:rFonts w:asciiTheme="majorHAnsi" w:eastAsiaTheme="majorEastAsia" w:hAnsiTheme="majorHAnsi" w:cstheme="majorBidi" w:ascii="Calibri" w:hAnsi="Calibri"/>
      <w:b w:val="0"/>
      <w:i/>
      <w:iCs/>
      <w:color w:val="000000"/>
      <w:spacing w:val="15"/>
      <w:sz w:val="26"/>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120"/>
      <w:contextualSpacing/>
    </w:pPr>
    <w:rPr>
      <w:rFonts w:ascii="Calibri" w:hAnsi="Calibri"/>
      <w:color w:val="000000"/>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120"/>
      <w:contextualSpacing/>
    </w:pPr>
    <w:rPr>
      <w:rFonts w:ascii="Calibri" w:hAnsi="Calibri"/>
      <w:color w:val="000000"/>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Text">
    <w:name w:val="Table Text"/>
    <w:basedOn w:val="Normal"/>
    <w:pPr>
      <w:spacing w:after="80"/>
    </w:pPr>
    <w:rPr>
      <w:sz w:val="19"/>
    </w:rPr>
  </w:style>
  <w:style w:type="paragraph" w:customStyle="1" w:styleId="Small">
    <w:name w:val="Small"/>
    <w:basedOn w:val="Normal"/>
    <w:pPr>
      <w:spacing w:after="100"/>
    </w:pPr>
    <w:rPr>
      <w:sz w:val="18"/>
    </w:rPr>
  </w:style>
  <w:style w:type="paragraph" w:customStyle="1" w:styleId="FieldLabel">
    <w:name w:val="Field Label"/>
    <w:basedOn w:val="Normal"/>
    <w:pPr>
      <w:keepNext/>
      <w:spacing w:after="0"/>
    </w:pPr>
    <w:rPr>
      <w:b/>
      <w:sz w:val="20"/>
    </w:rPr>
  </w:style>
  <w:style w:type="paragraph" w:customStyle="1" w:styleId="ResponseLine">
    <w:name w:val="Response Line"/>
    <w:basedOn w:val="Normal"/>
    <w:pPr>
      <w:spacing w:after="100"/>
    </w:pPr>
    <w:rPr>
      <w:sz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hyperlink" Target="https://www.alberta.ca/es-exceptions-caregivers" TargetMode="External"/><Relationship Id="rId13" Type="http://schemas.openxmlformats.org/officeDocument/2006/relationships/hyperlink" Target="https://www.alberta.ca/payment-earnings" TargetMode="External"/><Relationship Id="rId14" Type="http://schemas.openxmlformats.org/officeDocument/2006/relationships/hyperlink" Target="https://www.alberta.ca/job-protected-leaves" TargetMode="External"/><Relationship Id="rId15" Type="http://schemas.openxmlformats.org/officeDocument/2006/relationships/hyperlink" Target="https://www.alberta.ca/employment-standards-termination-and-lay-off" TargetMode="External"/><Relationship Id="rId16" Type="http://schemas.openxmlformats.org/officeDocument/2006/relationships/hyperlink" Target="https://www.albertahumanrights.ab.ca/issues-at-work/duty-to-accommodate-at-work/" TargetMode="External"/><Relationship Id="rId17" Type="http://schemas.openxmlformats.org/officeDocument/2006/relationships/hyperlink" Target="https://www.albertahumanrights.ab.ca/issues-at-work/harassment-at-work/" TargetMode="External"/><Relationship Id="rId18" Type="http://schemas.openxmlformats.org/officeDocument/2006/relationships/hyperlink" Target="https://search-ohs-laws.alberta.ca/legislation/occupational-health-and-safety-code/part-27-violence-and-harassment/" TargetMode="External"/><Relationship Id="rId19" Type="http://schemas.openxmlformats.org/officeDocument/2006/relationships/hyperlink" Target="https://www.clha.com/hca/hcas/hca-faq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Careland Employee Handbook</dc:title>
  <dc:subject>Home care operations and workplace reporting procedures</dc:subject>
  <dc:creator>Careland</dc:creator>
  <cp:keywords/>
  <dc:description>generated by python-docx</dc:description>
  <cp:lastModifiedBy/>
  <cp:revision>1</cp:revision>
  <dcterms:created xsi:type="dcterms:W3CDTF">2013-12-23T23:15:00Z</dcterms:created>
  <dcterms:modified xsi:type="dcterms:W3CDTF">2013-12-23T23:15:00Z</dcterms:modified>
  <cp:category/>
  <cp:version>1.0</cp:version>
</cp:coreProperties>
</file>