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2834640" cy="885825"/>
            <wp:docPr id="1" name="Picture 1" descr="Careland logo in dark blue and gold"/>
            <wp:cNvGraphicFramePr>
              <a:graphicFrameLocks noChangeAspect="1"/>
            </wp:cNvGraphicFramePr>
            <a:graphic>
              <a:graphicData uri="http://schemas.openxmlformats.org/drawingml/2006/picture">
                <pic:pic>
                  <pic:nvPicPr>
                    <pic:cNvPr id="0" name="image1.png"/>
                    <pic:cNvPicPr/>
                  </pic:nvPicPr>
                  <pic:blipFill>
                    <a:blip r:embed="rId11"/>
                    <a:stretch>
                      <a:fillRect/>
                    </a:stretch>
                  </pic:blipFill>
                  <pic:spPr>
                    <a:xfrm>
                      <a:off x="0" y="0"/>
                      <a:ext cx="2834640" cy="885825"/>
                    </a:xfrm>
                    <a:prstGeom prst="rect"/>
                  </pic:spPr>
                </pic:pic>
              </a:graphicData>
            </a:graphic>
          </wp:inline>
        </w:drawing>
      </w:r>
    </w:p>
    <w:p>
      <w:pPr>
        <w:pStyle w:val="Title"/>
      </w:pPr>
      <w:r>
        <w:t>Careland Policies and Procedures Manual</w:t>
      </w:r>
    </w:p>
    <w:p>
      <w:pPr>
        <w:pStyle w:val="Subtitle"/>
      </w:pPr>
      <w:r>
        <w:t>Home care operations workplace conduct and forms</w:t>
      </w:r>
    </w:p>
    <w:p>
      <w:r>
        <w:t>Edmonton Alberta  |  Version 2.0  |  Prepared 29 October 2026</w:t>
      </w:r>
    </w:p>
    <w:p>
      <w:r>
        <w:t>Document owner Careland Management</w:t>
      </w:r>
    </w:p>
    <w:p>
      <w:r>
        <w:t>This manual gives Careland staff practical instructions for admitting clients, delivering authorized support, managing care visits and responding to risk and complaints. It applies to Careland's for-profit home care operations in Edmonton and other approved service locations.</w:t>
      </w:r>
    </w:p>
    <w:p>
      <w:r>
        <w:t>Each procedure identifies responsibilities, actions, records and management checks. Client-specific assessment, lawful professional authority and actual insurance coverage determine which tasks Careland may accept.</w:t>
      </w:r>
    </w:p>
    <w:p>
      <w:r>
        <w:t>Careland records management approval, an effective date and reporting contacts before staff implementation. Staff then receive orientation and task-specific competency assessment. This document does not itself record approval, accreditation or payer registration.</w:t>
      </w:r>
    </w:p>
    <w:p>
      <w:r>
        <w:t>Use the completed reporting contacts and the client-specific care plan on every shift. For immediate danger or a medical emergency call 911.</w:t>
      </w:r>
    </w:p>
    <w:p>
      <w:pPr>
        <w:pStyle w:val="Heading1"/>
        <w:pageBreakBefore/>
      </w:pPr>
      <w:r>
        <w:t>Reporting contacts and management approval</w:t>
      </w:r>
    </w:p>
    <w:p>
      <w:r>
        <w:t>Complete this page before issuing the policies to staff. Keep current contact details available on every shift. A complaint may be made verbally or in writing; a form, signature or confrontation is not required.</w:t>
      </w:r>
    </w:p>
    <w:p>
      <w:pPr>
        <w:pStyle w:val="FieldLabel"/>
      </w:pPr>
      <w:r>
        <w:t>Primary recipient name and role</w:t>
      </w:r>
    </w:p>
    <w:p>
      <w:pPr>
        <w:pStyle w:val="ResponseLine"/>
        <w:spacing w:line="240" w:lineRule="auto"/>
        <w:pBdr>
          <w:bottom w:val="single" w:sz="3" w:color="B8BEC3"/>
        </w:pBdr>
      </w:pPr>
      <w:r>
        <w:rPr>
          <w:sz w:val="22"/>
        </w:rPr>
        <w:t xml:space="preserve"> </w:t>
      </w:r>
    </w:p>
    <w:p>
      <w:pPr>
        <w:pStyle w:val="FieldLabel"/>
      </w:pPr>
      <w:r>
        <w:t>Private phone and confidential reporting method</w:t>
      </w:r>
    </w:p>
    <w:p>
      <w:pPr>
        <w:pStyle w:val="ResponseLine"/>
        <w:spacing w:line="240" w:lineRule="auto"/>
        <w:pBdr>
          <w:bottom w:val="single" w:sz="3" w:color="B8BEC3"/>
        </w:pBdr>
      </w:pPr>
      <w:r>
        <w:rPr>
          <w:sz w:val="22"/>
        </w:rPr>
        <w:t xml:space="preserve"> </w:t>
      </w:r>
    </w:p>
    <w:p>
      <w:pPr>
        <w:pStyle w:val="FieldLabel"/>
      </w:pPr>
      <w:r>
        <w:t>Independent external alternate name and role</w:t>
      </w:r>
    </w:p>
    <w:p>
      <w:pPr>
        <w:pStyle w:val="ResponseLine"/>
        <w:spacing w:line="240" w:lineRule="auto"/>
        <w:pBdr>
          <w:bottom w:val="single" w:sz="3" w:color="B8BEC3"/>
        </w:pBdr>
      </w:pPr>
      <w:r>
        <w:rPr>
          <w:sz w:val="22"/>
        </w:rPr>
        <w:t xml:space="preserve"> </w:t>
      </w:r>
    </w:p>
    <w:p>
      <w:pPr>
        <w:pStyle w:val="FieldLabel"/>
      </w:pPr>
      <w:r>
        <w:t>Alternate private phone and confidential reporting method</w:t>
      </w:r>
    </w:p>
    <w:p>
      <w:pPr>
        <w:pStyle w:val="ResponseLine"/>
        <w:spacing w:line="240" w:lineRule="auto"/>
        <w:pBdr>
          <w:bottom w:val="single" w:sz="3" w:color="B8BEC3"/>
        </w:pBdr>
      </w:pPr>
      <w:r>
        <w:rPr>
          <w:sz w:val="22"/>
        </w:rPr>
        <w:t xml:space="preserve"> </w:t>
      </w:r>
    </w:p>
    <w:p>
      <w:pPr>
        <w:pStyle w:val="FieldLabel"/>
      </w:pPr>
      <w:r>
        <w:t>On call operations contact and backup</w:t>
      </w:r>
    </w:p>
    <w:p>
      <w:pPr>
        <w:pStyle w:val="ResponseLine"/>
        <w:spacing w:line="240" w:lineRule="auto"/>
        <w:pBdr>
          <w:bottom w:val="single" w:sz="3" w:color="B8BEC3"/>
        </w:pBdr>
      </w:pPr>
      <w:r>
        <w:rPr>
          <w:sz w:val="22"/>
        </w:rPr>
        <w:t xml:space="preserve"> </w:t>
      </w:r>
    </w:p>
    <w:p>
      <w:pPr>
        <w:pStyle w:val="FieldLabel"/>
      </w:pPr>
      <w:r>
        <w:t>Designated privacy and safeguarding contact</w:t>
      </w:r>
    </w:p>
    <w:p>
      <w:pPr>
        <w:pStyle w:val="ResponseLine"/>
        <w:spacing w:line="240" w:lineRule="auto"/>
        <w:pBdr>
          <w:bottom w:val="single" w:sz="3" w:color="B8BEC3"/>
        </w:pBdr>
      </w:pPr>
      <w:r>
        <w:rPr>
          <w:sz w:val="22"/>
        </w:rPr>
        <w:t xml:space="preserve"> </w:t>
      </w:r>
    </w:p>
    <w:p>
      <w:pPr>
        <w:pStyle w:val="FieldLabel"/>
      </w:pPr>
      <w:r>
        <w:t>Approved by name role and signature</w:t>
      </w:r>
    </w:p>
    <w:p>
      <w:pPr>
        <w:pStyle w:val="ResponseLine"/>
        <w:spacing w:line="240" w:lineRule="auto"/>
        <w:pBdr>
          <w:bottom w:val="single" w:sz="3" w:color="B8BEC3"/>
        </w:pBdr>
      </w:pPr>
      <w:r>
        <w:rPr>
          <w:sz w:val="22"/>
        </w:rPr>
        <w:t xml:space="preserve"> </w:t>
      </w:r>
    </w:p>
    <w:p>
      <w:pPr>
        <w:pStyle w:val="FieldLabel"/>
      </w:pPr>
      <w:r>
        <w:t>Effective date and next annual review date</w:t>
      </w:r>
    </w:p>
    <w:p>
      <w:pPr>
        <w:pStyle w:val="ResponseLine"/>
        <w:spacing w:line="240" w:lineRule="auto"/>
        <w:pBdr>
          <w:bottom w:val="single" w:sz="3" w:color="B8BEC3"/>
        </w:pBdr>
      </w:pPr>
      <w:r>
        <w:rPr>
          <w:sz w:val="22"/>
        </w:rPr>
        <w:t xml:space="preserve"> </w:t>
      </w:r>
    </w:p>
    <w:p>
      <w:pPr>
        <w:pStyle w:val="Small"/>
      </w:pPr>
      <w:r>
        <w:t>Employees may bypass anyone involved in the concern. An owner-related complaint must go to the independent external recipient and investigator; the owner must not screen, investigate or decide their own case. Arrange that independent route before staff issue.</w:t>
      </w:r>
    </w:p>
    <w:p>
      <w:pPr>
        <w:pStyle w:val="Small"/>
      </w:pPr>
      <w:r>
        <w:t>Record affected-worker consultation, orientation and any communication or accessibility support. Do not place completed complaints or personal medical information in a public copy.</w:t>
      </w:r>
    </w:p>
    <w:p>
      <w:pPr>
        <w:pStyle w:val="Heading1"/>
        <w:pageBreakBefore/>
      </w:pPr>
      <w:r>
        <w:t>Using this manual</w:t>
      </w:r>
    </w:p>
    <w:p>
      <w:r>
        <w:t>Before a visit, read the current care plan, confirm approved tasks and review hazards and escalation contacts. If the plan cannot be followed safely, pause the affected task and contact the supervisor. Start emergency help immediately when needed.</w:t>
      </w:r>
    </w:p>
    <w:p>
      <w:pPr>
        <w:pStyle w:val="Heading2"/>
      </w:pPr>
      <w:r>
        <w:t>Responsibilities during care</w:t>
      </w:r>
    </w:p>
    <w:tbl>
      <w:tblPr>
        <w:tblW w:type="auto" w:w="0"/>
        <w:jc w:val="center"/>
        <w:tblLayout w:type="fixed"/>
        <w:tblLook w:firstColumn="1" w:firstRow="1" w:lastColumn="0" w:lastRow="0" w:noHBand="0" w:noVBand="1" w:val="04A0"/>
      </w:tblPr>
      <w:tblGrid>
        <w:gridCol w:w="2736"/>
        <w:gridCol w:w="7258"/>
      </w:tblGrid>
      <w:tr>
        <w:trPr>
          <w:tblHeader/>
        </w:trPr>
        <w:tc>
          <w:tcPr>
            <w:tcW w:type="dxa" w:w="2736"/>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173F5F"/>
          </w:tcPr>
          <w:p>
            <w:pPr>
              <w:pStyle w:val="TableText"/>
            </w:pPr>
            <w:r>
              <w:rPr>
                <w:b/>
                <w:color w:val="FFFFFF"/>
              </w:rPr>
              <w:t>Role</w:t>
            </w:r>
          </w:p>
        </w:tc>
        <w:tc>
          <w:tcPr>
            <w:tcW w:type="dxa" w:w="7258"/>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173F5F"/>
          </w:tcPr>
          <w:p>
            <w:pPr>
              <w:pStyle w:val="TableText"/>
            </w:pPr>
            <w:r>
              <w:rPr>
                <w:b/>
                <w:color w:val="FFFFFF"/>
              </w:rPr>
              <w:t>Accountability</w:t>
            </w:r>
          </w:p>
        </w:tc>
      </w:tr>
      <w:tr>
        <w:trPr>
          <w:cantSplit/>
          <w:cantSplit/>
        </w:trPr>
        <w:tc>
          <w:tcPr>
            <w:tcW w:type="dxa" w:w="2736"/>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Owner and management</w:t>
            </w:r>
          </w:p>
        </w:tc>
        <w:tc>
          <w:tcPr>
            <w:tcW w:type="dxa" w:w="7258"/>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Approve scope and policies, resource safe care, maintain insurance and respond to compliance and quality concerns.</w:t>
            </w:r>
          </w:p>
        </w:tc>
      </w:tr>
      <w:tr>
        <w:trPr>
          <w:cantSplit/>
          <w:cantSplit/>
        </w:trPr>
        <w:tc>
          <w:tcPr>
            <w:tcW w:type="dxa" w:w="2736"/>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2F6F8"/>
          </w:tcPr>
          <w:p>
            <w:pPr>
              <w:pStyle w:val="TableText"/>
            </w:pPr>
            <w:r>
              <w:t>Care coordinator and scheduler</w:t>
            </w:r>
          </w:p>
        </w:tc>
        <w:tc>
          <w:tcPr>
            <w:tcW w:type="dxa" w:w="7258"/>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2F6F8"/>
          </w:tcPr>
          <w:p>
            <w:pPr>
              <w:pStyle w:val="TableText"/>
            </w:pPr>
            <w:r>
              <w:t>Assess needs within competence, arrange qualified staff, keep current plans and respond to missed care.</w:t>
            </w:r>
          </w:p>
        </w:tc>
      </w:tr>
      <w:tr>
        <w:trPr>
          <w:cantSplit/>
          <w:cantSplit/>
        </w:trPr>
        <w:tc>
          <w:tcPr>
            <w:tcW w:type="dxa" w:w="2736"/>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Assigned worker</w:t>
            </w:r>
          </w:p>
        </w:tc>
        <w:tc>
          <w:tcPr>
            <w:tcW w:type="dxa" w:w="7258"/>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Follow authorized tasks, seek consent, document actual care and promptly report changes and risks.</w:t>
            </w:r>
          </w:p>
        </w:tc>
      </w:tr>
      <w:tr>
        <w:trPr>
          <w:cantSplit/>
          <w:cantSplit/>
        </w:trPr>
        <w:tc>
          <w:tcPr>
            <w:tcW w:type="dxa" w:w="2736"/>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2F6F8"/>
          </w:tcPr>
          <w:p>
            <w:pPr>
              <w:pStyle w:val="TableText"/>
            </w:pPr>
            <w:r>
              <w:t>Qualified assessor or clinical adviser</w:t>
            </w:r>
          </w:p>
        </w:tc>
        <w:tc>
          <w:tcPr>
            <w:tcW w:type="dxa" w:w="7258"/>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2F6F8"/>
          </w:tcPr>
          <w:p>
            <w:pPr>
              <w:pStyle w:val="TableText"/>
            </w:pPr>
            <w:r>
              <w:t>Provide role-appropriate assessment, direction or supervision when required; no appointment is implied by this manual.</w:t>
            </w:r>
          </w:p>
        </w:tc>
      </w:tr>
      <w:tr>
        <w:trPr>
          <w:cantSplit/>
          <w:cantSplit/>
        </w:trPr>
        <w:tc>
          <w:tcPr>
            <w:tcW w:type="dxa" w:w="2736"/>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Independent alternate</w:t>
            </w:r>
          </w:p>
        </w:tc>
        <w:tc>
          <w:tcPr>
            <w:tcW w:type="dxa" w:w="7258"/>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Receive conflicted or owner-related concerns and arrange a fair external response.</w:t>
            </w:r>
          </w:p>
        </w:tc>
      </w:tr>
    </w:tbl>
    <w:p>
      <w:pPr>
        <w:pStyle w:val="Small"/>
      </w:pPr>
    </w:p>
    <w:p>
      <w:pPr>
        <w:pStyle w:val="Heading2"/>
      </w:pPr>
      <w:r>
        <w:t>Internal targets and legal deadlines</w:t>
      </w:r>
    </w:p>
    <w:p>
      <w:r>
        <w:t>The two-business-day acknowledgement, five-business-day investigator allocation, ten-business-day updates, thirty-calendar-day employee complaint target and annual policy review are Careland choices. They do not delay immediate protection, statutory reporting or an external filing deadline.</w:t>
      </w:r>
    </w:p>
    <w:p>
      <w:r>
        <w:t>Forms support the procedures; they are not a substitute for assessment, competence or task authorization. Keep completed forms secure and use only the minimum necessary information.</w:t>
      </w:r>
    </w:p>
    <w:p>
      <w:pPr>
        <w:pStyle w:val="Heading1"/>
        <w:pageBreakBefore/>
      </w:pPr>
      <w:r>
        <w:t>Contents</w:t>
      </w:r>
    </w:p>
    <w:p>
      <w:pPr>
        <w:pStyle w:val="Small"/>
      </w:pPr>
      <w:r>
        <w:t>Select a policy heading to navigate in Word. Every page is numbered; forms are identified by a stable letter.</w:t>
      </w:r>
    </w:p>
    <w:p>
      <w:pPr>
        <w:pStyle w:val="Small"/>
        <w:spacing w:after="60"/>
      </w:pPr>
      <w:hyperlink w:anchor="policy_1">
        <w:r>
          <w:rPr>
            <w:color w:val="173F5F"/>
            <w:u w:val="single"/>
          </w:rPr>
          <w:t>1 Governance scope and document control</w:t>
        </w:r>
      </w:hyperlink>
    </w:p>
    <w:p>
      <w:pPr>
        <w:pStyle w:val="Small"/>
        <w:spacing w:after="60"/>
      </w:pPr>
      <w:hyperlink w:anchor="policy_2">
        <w:r>
          <w:rPr>
            <w:color w:val="173F5F"/>
            <w:u w:val="single"/>
          </w:rPr>
          <w:t>2 Service scope and exclusions</w:t>
        </w:r>
      </w:hyperlink>
    </w:p>
    <w:p>
      <w:pPr>
        <w:pStyle w:val="Small"/>
        <w:spacing w:after="60"/>
      </w:pPr>
      <w:hyperlink w:anchor="policy_3">
        <w:r>
          <w:rPr>
            <w:color w:val="173F5F"/>
            <w:u w:val="single"/>
          </w:rPr>
          <w:t>3 Client referral eligibility and admission</w:t>
        </w:r>
      </w:hyperlink>
    </w:p>
    <w:p>
      <w:pPr>
        <w:pStyle w:val="Small"/>
        <w:spacing w:after="60"/>
      </w:pPr>
      <w:hyperlink w:anchor="policy_4">
        <w:r>
          <w:rPr>
            <w:color w:val="173F5F"/>
            <w:u w:val="single"/>
          </w:rPr>
          <w:t>4 Informed consent dignity and client rights</w:t>
        </w:r>
      </w:hyperlink>
    </w:p>
    <w:p>
      <w:pPr>
        <w:pStyle w:val="Small"/>
        <w:spacing w:after="60"/>
      </w:pPr>
      <w:hyperlink w:anchor="policy_5">
        <w:r>
          <w:rPr>
            <w:color w:val="173F5F"/>
            <w:u w:val="single"/>
          </w:rPr>
          <w:t>5 Individual care plans and reassessment</w:t>
        </w:r>
      </w:hyperlink>
    </w:p>
    <w:p>
      <w:pPr>
        <w:pStyle w:val="Small"/>
        <w:spacing w:after="60"/>
      </w:pPr>
      <w:hyperlink w:anchor="policy_6">
        <w:r>
          <w:rPr>
            <w:color w:val="173F5F"/>
            <w:u w:val="single"/>
          </w:rPr>
          <w:t>6 Staffing screening and credentials</w:t>
        </w:r>
      </w:hyperlink>
    </w:p>
    <w:p>
      <w:pPr>
        <w:pStyle w:val="Small"/>
        <w:spacing w:after="60"/>
      </w:pPr>
      <w:hyperlink w:anchor="policy_7">
        <w:r>
          <w:rPr>
            <w:color w:val="173F5F"/>
            <w:u w:val="single"/>
          </w:rPr>
          <w:t>7 Orientation training and competency</w:t>
        </w:r>
      </w:hyperlink>
    </w:p>
    <w:p>
      <w:pPr>
        <w:pStyle w:val="Small"/>
        <w:spacing w:after="60"/>
      </w:pPr>
      <w:hyperlink w:anchor="policy_8">
        <w:r>
          <w:rPr>
            <w:color w:val="173F5F"/>
            <w:u w:val="single"/>
          </w:rPr>
          <w:t>8 Scheduling attendance and continuity</w:t>
        </w:r>
      </w:hyperlink>
    </w:p>
    <w:p>
      <w:pPr>
        <w:pStyle w:val="Small"/>
        <w:spacing w:after="60"/>
      </w:pPr>
      <w:hyperlink w:anchor="policy_9">
        <w:r>
          <w:rPr>
            <w:color w:val="173F5F"/>
            <w:u w:val="single"/>
          </w:rPr>
          <w:t>9 Professional conduct boundaries and gifts</w:t>
        </w:r>
      </w:hyperlink>
    </w:p>
    <w:p>
      <w:pPr>
        <w:pStyle w:val="Small"/>
        <w:spacing w:after="60"/>
      </w:pPr>
      <w:hyperlink w:anchor="policy_10">
        <w:r>
          <w:rPr>
            <w:color w:val="173F5F"/>
            <w:u w:val="single"/>
          </w:rPr>
          <w:t>10 Abuse neglect and safeguarding</w:t>
        </w:r>
      </w:hyperlink>
    </w:p>
    <w:p>
      <w:pPr>
        <w:pStyle w:val="Small"/>
        <w:spacing w:after="60"/>
      </w:pPr>
      <w:hyperlink w:anchor="policy_11">
        <w:r>
          <w:rPr>
            <w:color w:val="173F5F"/>
            <w:u w:val="single"/>
          </w:rPr>
          <w:t>11 Infection prevention and control</w:t>
        </w:r>
      </w:hyperlink>
    </w:p>
    <w:p>
      <w:pPr>
        <w:pStyle w:val="Small"/>
        <w:spacing w:after="60"/>
      </w:pPr>
      <w:hyperlink w:anchor="policy_12">
        <w:r>
          <w:rPr>
            <w:color w:val="173F5F"/>
            <w:u w:val="single"/>
          </w:rPr>
          <w:t>12 Medication assistance and administration</w:t>
        </w:r>
      </w:hyperlink>
    </w:p>
    <w:p>
      <w:pPr>
        <w:pStyle w:val="Small"/>
        <w:spacing w:after="60"/>
      </w:pPr>
      <w:hyperlink w:anchor="policy_13">
        <w:r>
          <w:rPr>
            <w:color w:val="173F5F"/>
            <w:u w:val="single"/>
          </w:rPr>
          <w:t>13 Personal care mobility and fall prevention</w:t>
        </w:r>
      </w:hyperlink>
    </w:p>
    <w:p>
      <w:pPr>
        <w:pStyle w:val="Small"/>
        <w:spacing w:after="60"/>
      </w:pPr>
      <w:hyperlink w:anchor="policy_14">
        <w:r>
          <w:rPr>
            <w:color w:val="173F5F"/>
            <w:u w:val="single"/>
          </w:rPr>
          <w:t>14 Dementia and responsive behaviours</w:t>
        </w:r>
      </w:hyperlink>
    </w:p>
    <w:p>
      <w:pPr>
        <w:pStyle w:val="Small"/>
        <w:spacing w:after="60"/>
      </w:pPr>
      <w:hyperlink w:anchor="policy_15">
        <w:r>
          <w:rPr>
            <w:color w:val="173F5F"/>
            <w:u w:val="single"/>
          </w:rPr>
          <w:t>15 Housekeeping food and home safety</w:t>
        </w:r>
      </w:hyperlink>
    </w:p>
    <w:p>
      <w:pPr>
        <w:pStyle w:val="Small"/>
        <w:spacing w:after="60"/>
      </w:pPr>
      <w:hyperlink w:anchor="policy_16">
        <w:r>
          <w:rPr>
            <w:color w:val="173F5F"/>
            <w:u w:val="single"/>
          </w:rPr>
          <w:t>16 Lone worker and workplace safety</w:t>
        </w:r>
      </w:hyperlink>
    </w:p>
    <w:p>
      <w:pPr>
        <w:pStyle w:val="Small"/>
        <w:spacing w:after="60"/>
      </w:pPr>
      <w:hyperlink w:anchor="policy_17">
        <w:r>
          <w:rPr>
            <w:color w:val="173F5F"/>
            <w:u w:val="single"/>
          </w:rPr>
          <w:t>17 Emergency preparedness</w:t>
        </w:r>
      </w:hyperlink>
    </w:p>
    <w:p>
      <w:pPr>
        <w:pStyle w:val="Small"/>
        <w:spacing w:after="60"/>
      </w:pPr>
      <w:hyperlink w:anchor="policy_18">
        <w:r>
          <w:rPr>
            <w:color w:val="173F5F"/>
            <w:u w:val="single"/>
          </w:rPr>
          <w:t>18 Incidents near misses and disclosure</w:t>
        </w:r>
      </w:hyperlink>
    </w:p>
    <w:p>
      <w:pPr>
        <w:pStyle w:val="Small"/>
        <w:spacing w:after="60"/>
      </w:pPr>
      <w:hyperlink w:anchor="policy_19">
        <w:r>
          <w:rPr>
            <w:color w:val="173F5F"/>
            <w:u w:val="single"/>
          </w:rPr>
          <w:t>19 Privacy confidentiality and records</w:t>
        </w:r>
      </w:hyperlink>
    </w:p>
    <w:p>
      <w:pPr>
        <w:pStyle w:val="Small"/>
        <w:spacing w:after="60"/>
      </w:pPr>
      <w:hyperlink w:anchor="policy_20">
        <w:r>
          <w:rPr>
            <w:color w:val="173F5F"/>
            <w:u w:val="single"/>
          </w:rPr>
          <w:t>20 Complaints and service recovery</w:t>
        </w:r>
      </w:hyperlink>
    </w:p>
    <w:p>
      <w:pPr>
        <w:pStyle w:val="Small"/>
        <w:spacing w:after="60"/>
      </w:pPr>
      <w:hyperlink w:anchor="policy_21">
        <w:r>
          <w:rPr>
            <w:color w:val="173F5F"/>
            <w:u w:val="single"/>
          </w:rPr>
          <w:t>21 Billing invoicing and financial controls</w:t>
        </w:r>
      </w:hyperlink>
    </w:p>
    <w:p>
      <w:pPr>
        <w:pStyle w:val="Small"/>
        <w:spacing w:after="60"/>
      </w:pPr>
      <w:hyperlink w:anchor="policy_22">
        <w:r>
          <w:rPr>
            <w:color w:val="173F5F"/>
            <w:u w:val="single"/>
          </w:rPr>
          <w:t>22 Insurance contracts and external providers</w:t>
        </w:r>
      </w:hyperlink>
    </w:p>
    <w:p>
      <w:pPr>
        <w:pStyle w:val="Small"/>
        <w:spacing w:after="60"/>
      </w:pPr>
      <w:hyperlink w:anchor="policy_23">
        <w:r>
          <w:rPr>
            <w:color w:val="173F5F"/>
            <w:u w:val="single"/>
          </w:rPr>
          <w:t>23 Quality assurance and continuous improvement</w:t>
        </w:r>
      </w:hyperlink>
    </w:p>
    <w:p>
      <w:pPr>
        <w:pStyle w:val="Small"/>
        <w:spacing w:after="60"/>
      </w:pPr>
      <w:hyperlink w:anchor="policy_24">
        <w:r>
          <w:rPr>
            <w:color w:val="173F5F"/>
            <w:u w:val="single"/>
          </w:rPr>
          <w:t>24 Service suspension discharge and handover</w:t>
        </w:r>
      </w:hyperlink>
    </w:p>
    <w:p>
      <w:pPr>
        <w:pStyle w:val="Small"/>
        <w:spacing w:after="60"/>
      </w:pPr>
      <w:hyperlink w:anchor="policy_25">
        <w:r>
          <w:rPr>
            <w:color w:val="173F5F"/>
            <w:u w:val="single"/>
          </w:rPr>
          <w:t>25 Sexual harassment and respectful conduct</w:t>
        </w:r>
      </w:hyperlink>
    </w:p>
    <w:p>
      <w:pPr>
        <w:pStyle w:val="Small"/>
        <w:spacing w:after="60"/>
      </w:pPr>
      <w:hyperlink w:anchor="policy_26">
        <w:r>
          <w:rPr>
            <w:color w:val="173F5F"/>
            <w:u w:val="single"/>
          </w:rPr>
          <w:t>26 Discrimination and accommodation</w:t>
        </w:r>
      </w:hyperlink>
    </w:p>
    <w:p>
      <w:pPr>
        <w:pStyle w:val="Small"/>
        <w:spacing w:after="60"/>
      </w:pPr>
      <w:hyperlink w:anchor="policy_27">
        <w:r>
          <w:rPr>
            <w:color w:val="173F5F"/>
            <w:u w:val="single"/>
          </w:rPr>
          <w:t>27 Employee complaints investigation and review</w:t>
        </w:r>
      </w:hyperlink>
    </w:p>
    <w:p>
      <w:pPr>
        <w:pStyle w:val="Small"/>
        <w:spacing w:after="60"/>
      </w:pPr>
      <w:hyperlink w:anchor="policy_28">
        <w:r>
          <w:rPr>
            <w:color w:val="173F5F"/>
            <w:u w:val="single"/>
          </w:rPr>
          <w:t>28 Violence and harassment prevention</w:t>
        </w:r>
      </w:hyperlink>
    </w:p>
    <w:p>
      <w:pPr>
        <w:pStyle w:val="Small"/>
        <w:spacing w:after="60"/>
      </w:pPr>
      <w:hyperlink w:anchor="policy_29">
        <w:r>
          <w:rPr>
            <w:color w:val="173F5F"/>
            <w:u w:val="single"/>
          </w:rPr>
          <w:t>29 Service specific operating arrangements</w:t>
        </w:r>
      </w:hyperlink>
    </w:p>
    <w:p>
      <w:pPr>
        <w:pStyle w:val="Small"/>
        <w:spacing w:after="60"/>
      </w:pPr>
      <w:hyperlink w:anchor="policy_30">
        <w:r>
          <w:rPr>
            <w:color w:val="173F5F"/>
            <w:u w:val="single"/>
          </w:rPr>
          <w:t>30 CDHCI registration and verification</w:t>
        </w:r>
      </w:hyperlink>
    </w:p>
    <w:p>
      <w:pPr>
        <w:pStyle w:val="Small"/>
      </w:pPr>
      <w:r>
        <w:t>Workplace administration and external options</w:t>
      </w:r>
    </w:p>
    <w:p>
      <w:pPr>
        <w:pStyle w:val="Small"/>
      </w:pPr>
      <w:r>
        <w:t>Forms A to W and reference sources</w:t>
      </w:r>
    </w:p>
    <w:p>
      <w:bookmarkStart w:id="1" w:name="policy_1"/>
      <w:pPr>
        <w:pStyle w:val="Heading1"/>
        <w:pageBreakBefore/>
      </w:pPr>
      <w:r>
        <w:t>1 Governance scope and document control</w:t>
      </w:r>
      <w:bookmarkEnd w:id="1"/>
    </w:p>
    <w:p>
      <w:pPr>
        <w:pStyle w:val="Small"/>
      </w:pPr>
      <w:r>
        <w:t>Responsible person  Owner and designated operations manager</w:t>
      </w:r>
    </w:p>
    <w:p>
      <w:pPr>
        <w:pStyle w:val="Heading2"/>
      </w:pPr>
      <w:r>
        <w:t>Policy</w:t>
      </w:r>
    </w:p>
    <w:p>
      <w:r>
        <w:t>Careland is a for-profit, community-based home-care provider. Services are delivered at client residences or other approved sites, subject to site permissions, client consent, worker competence and insurance. Management maintains controlled policies and reviews them at least annually and after a serious incident or regulatory change.</w:t>
      </w:r>
    </w:p>
    <w:p>
      <w:pPr>
        <w:pStyle w:val="Heading2"/>
      </w:pPr>
      <w:r>
        <w:t>Detailed procedure</w:t>
      </w:r>
    </w:p>
    <w:p>
      <w:r>
        <w:t>1. Before accepting a service, record the business model, care setting, payer and tasks offered. Confirm which continuing care, occupational safety, privacy, employment and professional requirements apply. Maintain a register of the source, requirement, responsible person, evidence and next review date.</w:t>
      </w:r>
    </w:p>
    <w:p>
      <w:r>
        <w:t>2. Alberta distinguishes direct regional health authority care, contracted care and client-chosen care. Confirm Careland's classification for each arrangement. Type 3 providers are not specifically required to follow the Continuing Care Health Service Standards, although applicable legislation, inspection and reporting duties remain. Do not describe a municipal business licence as provincial clinical approval.</w:t>
      </w:r>
    </w:p>
    <w:p>
      <w:r>
        <w:t>3. Allocate responsibility for intake, scheduling, after-hours decisions, safeguarding, privacy, payroll and quality. One person may hold several roles, but identify a trained backup. A conflict involving the owner must go to an independent external recipient.</w:t>
      </w:r>
    </w:p>
    <w:p>
      <w:r>
        <w:t>4. Maintain a master copy with version, approval, effective date and review date. Keep a revision log describing the change and affected training. Remove obsolete working copies while retaining an archived version and approval record.</w:t>
      </w:r>
    </w:p>
    <w:p>
      <w:r>
        <w:t>5. Review the manual at least annually as Careland policy and sooner after changed law, services, contracts, a serious incident or a recurring complaint. Consult affected staff before changing safety controls.</w:t>
      </w:r>
    </w:p>
    <w:p>
      <w:r>
        <w:t>6. Before issuing a revision, explain the changes, identify the tasks affected and record staff understanding. A signed acknowledgement alone is not evidence of competence.</w:t>
      </w:r>
    </w:p>
    <w:p>
      <w:r>
        <w:t>7. When law or a contract appears to conflict with this manual, stop the affected non-emergency task and obtain direction. Record the decision and update the controlled policy; workers must not resolve uncertainty by improvising.</w:t>
      </w:r>
    </w:p>
    <w:p>
      <w:pPr>
        <w:pStyle w:val="Heading2"/>
      </w:pPr>
      <w:r>
        <w:t>Records and management check</w:t>
      </w:r>
    </w:p>
    <w:p>
      <w:r>
        <w:t>Keep the legal and contract register, role assignments, revision history, approvals and staff acknowledgements in controlled management records.</w:t>
      </w:r>
    </w:p>
    <w:p>
      <w:r>
        <w:t>At each quarterly management review, check that every active policy has an owner and that open changes have a due date.</w:t>
      </w:r>
    </w:p>
    <w:p>
      <w:bookmarkStart w:id="2" w:name="policy_2"/>
      <w:pPr>
        <w:pStyle w:val="Heading1"/>
        <w:pageBreakBefore/>
      </w:pPr>
      <w:r>
        <w:t>2 Service scope and exclusions</w:t>
      </w:r>
      <w:bookmarkEnd w:id="2"/>
    </w:p>
    <w:p>
      <w:pPr>
        <w:pStyle w:val="Small"/>
      </w:pPr>
      <w:r>
        <w:t>Responsible person  Operations manager with an appropriately qualified clinical adviser when required</w:t>
      </w:r>
    </w:p>
    <w:p>
      <w:pPr>
        <w:pStyle w:val="Heading2"/>
      </w:pPr>
      <w:r>
        <w:t>Policy</w:t>
      </w:r>
    </w:p>
    <w:p>
      <w:r>
        <w:t>Potential services: companionship, respite, personal care, dementia/Alzheimer’s support, Parkinson’s/ALS/TBI support within HCA competence, post-hospital support, housekeeping, overnight/live-in/24-hour support where staffing permits, and non-clinical palliative support. Careland does not transport clients, perform injections, catheter care or manual lifting under its current plan. No unapproved nursing or other regulated services.</w:t>
      </w:r>
    </w:p>
    <w:p>
      <w:pPr>
        <w:pStyle w:val="Heading2"/>
      </w:pPr>
      <w:r>
        <w:t>Detailed procedure</w:t>
      </w:r>
    </w:p>
    <w:p>
      <w:r>
        <w:t>1. Use a task authorization record for each client. List the actual task, the client's needs, the proposed worker, required equipment, competence, professional authority and insurance conditions. Advertising a service category does not authorize every task within it.</w:t>
      </w:r>
    </w:p>
    <w:p>
      <w:r>
        <w:t>2. Approve companionship, errands, respite, housekeeping and agreed personal support only after assessment. Dementia, Alzheimer's, Parkinson's, ALS and brain injury labels describe the client's condition; they do not create authority to deliver nursing or therapy.</w:t>
      </w:r>
    </w:p>
    <w:p>
      <w:r>
        <w:t>3. Preserve Careland's current exclusions: client transportation, injections, catheter care and manual lifting. Do not add these services through a verbal promise, a family's request or an employee's past experience.</w:t>
      </w:r>
    </w:p>
    <w:p>
      <w:r>
        <w:t>4. Treat medication administration and other higher-risk tasks as conditional. Obtain the specific written plan, professional direction and supervision required for that task, verify the worker's current authority and competence, and confirm insurer approval before assignment.</w:t>
      </w:r>
    </w:p>
    <w:p>
      <w:r>
        <w:t>5. For an approved assisted transfer, confirm the assessed method, equipment and number of trained workers. If the task would require an excluded manual lift, or the client can no longer follow the assessed method, stop and arrange reassessment.</w:t>
      </w:r>
    </w:p>
    <w:p>
      <w:r>
        <w:t>6. For support in a hospital or other organization, obtain the client's consent and the site's permission. Agree who provides each task and how concerns reach the site's clinical team. Careland staff must not change a hospital treatment plan or use site equipment without authorization.</w:t>
      </w:r>
    </w:p>
    <w:p>
      <w:r>
        <w:t>7. Do not offer live-in, overnight or 24-hour coverage until a written staffing, rest, relief and contingency arrangement is feasible. Describe whether a worker is awake, resting or on call so clients understand what has been purchased.</w:t>
      </w:r>
    </w:p>
    <w:p>
      <w:r>
        <w:t>8. Record an excluded or declined task and explain available referral options. Escalate an urgent unmet need to appropriate health or emergency services rather than leaving the client without a safety response.</w:t>
      </w:r>
    </w:p>
    <w:p>
      <w:pPr>
        <w:pStyle w:val="Heading2"/>
      </w:pPr>
      <w:r>
        <w:t>Records and management check</w:t>
      </w:r>
    </w:p>
    <w:p>
      <w:r>
        <w:t>Keep the signed scope agreement, task authorization record, equipment assessment and relevant insurance confirmation with the care plan.</w:t>
      </w:r>
    </w:p>
    <w:p>
      <w:r>
        <w:t>Recheck scope whenever needs, equipment, setting, workers or insurance change.</w:t>
      </w:r>
    </w:p>
    <w:p>
      <w:bookmarkStart w:id="3" w:name="policy_3"/>
      <w:pPr>
        <w:pStyle w:val="Heading1"/>
        <w:pageBreakBefore/>
      </w:pPr>
      <w:r>
        <w:t>3 Client referral eligibility and admission</w:t>
      </w:r>
      <w:bookmarkEnd w:id="3"/>
    </w:p>
    <w:p>
      <w:pPr>
        <w:pStyle w:val="Small"/>
      </w:pPr>
      <w:r>
        <w:t>Responsible person  Intake coordinator and operations manager</w:t>
      </w:r>
    </w:p>
    <w:p>
      <w:pPr>
        <w:pStyle w:val="Heading2"/>
      </w:pPr>
      <w:r>
        <w:t>Policy</w:t>
      </w:r>
    </w:p>
    <w:p>
      <w:r>
        <w:t>Accept clients only where Careland can safely meet needs with available resources. Do not discriminate contrary to applicable human-rights law.</w:t>
      </w:r>
    </w:p>
    <w:p>
      <w:pPr>
        <w:pStyle w:val="Heading2"/>
      </w:pPr>
      <w:r>
        <w:t>Detailed procedure</w:t>
      </w:r>
    </w:p>
    <w:p>
      <w:r>
        <w:t>1. Record the referral date, source, safe contact method, preferred language and requested start. Ask about immediate danger or an urgent care gap first. Direct emergencies to 911; do not present routine intake as an emergency response service.</w:t>
      </w:r>
    </w:p>
    <w:p>
      <w:r>
        <w:t>2. Explain Careland's available services, current exclusions, fees, visit minimums if adopted, cancellation terms and complaint options. Provide these in writing before an agreement is signed. Record access or communication supports needed to understand them.</w:t>
      </w:r>
    </w:p>
    <w:p>
      <w:r>
        <w:t>3. Obtain consent to collect necessary assessment information and to contact named professionals or family members. Verify the authority of anyone acting for the client; being a relative or emergency contact does not itself establish decision-making authority.</w:t>
      </w:r>
    </w:p>
    <w:p>
      <w:r>
        <w:t>4. Assess daily activities, cognition, mobility, falls, skin concerns, eating and swallowing needs, medication support, allergies, home access, emergency plans, family support and worker hazards. Seek an appropriately qualified assessment where the need exceeds the intake worker's competence.</w:t>
      </w:r>
    </w:p>
    <w:p>
      <w:r>
        <w:t>5. Confirm the proposed tasks can be staffed safely and are covered by written insurance. Identify who provides equipment and supplies, how access works and who will respond outside office hours.</w:t>
      </w:r>
    </w:p>
    <w:p>
      <w:r>
        <w:t>6. For a payer-funded arrangement, separately verify client eligibility, authorization, approved service categories and hours, provider registration and billing requirements. Do not assure the family that a service will be reimbursed until verified.</w:t>
      </w:r>
    </w:p>
    <w:p>
      <w:r>
        <w:t>7. Decide accept, conditional acceptance, waitlist or decline. Record the reasons against needs and available resources. For conditional acceptance, assign each outstanding item and prohibit the affected tasks until it is resolved.</w:t>
      </w:r>
    </w:p>
    <w:p>
      <w:r>
        <w:t>8. Before the first visit, obtain the service agreement, consent, current care plan and emergency contacts. Introduce the assigned worker and explain changes or delays. Conduct a first-visit check and contact the client within the first week as an internal quality target.</w:t>
      </w:r>
    </w:p>
    <w:p>
      <w:pPr>
        <w:pStyle w:val="Heading2"/>
      </w:pPr>
      <w:r>
        <w:t>Records and management check</w:t>
      </w:r>
    </w:p>
    <w:p>
      <w:r>
        <w:t>Use Forms A, B, C and W. Record declined referrals securely and disclose information to alternatives only with appropriate authority.</w:t>
      </w:r>
    </w:p>
    <w:p>
      <w:r>
        <w:t>The manager verifies the admission checklist before releasing the first independent shift.</w:t>
      </w:r>
    </w:p>
    <w:p>
      <w:bookmarkStart w:id="4" w:name="policy_4"/>
      <w:pPr>
        <w:pStyle w:val="Heading1"/>
        <w:pageBreakBefore/>
      </w:pPr>
      <w:r>
        <w:t>4 Informed consent dignity and client rights</w:t>
      </w:r>
      <w:bookmarkEnd w:id="4"/>
    </w:p>
    <w:p>
      <w:pPr>
        <w:pStyle w:val="Small"/>
      </w:pPr>
      <w:r>
        <w:t>Responsible person  Every worker with management support</w:t>
      </w:r>
    </w:p>
    <w:p>
      <w:pPr>
        <w:pStyle w:val="Heading2"/>
      </w:pPr>
      <w:r>
        <w:t>Policy</w:t>
      </w:r>
    </w:p>
    <w:p>
      <w:r>
        <w:t>Clients receive respectful, culturally responsive, privacy-conscious care and may decline non-emergency care. Consent must be informed, voluntary, specific and documented; involve a lawful substitute decision-maker where applicable.</w:t>
      </w:r>
    </w:p>
    <w:p>
      <w:pPr>
        <w:pStyle w:val="Heading2"/>
      </w:pPr>
      <w:r>
        <w:t>Detailed procedure</w:t>
      </w:r>
    </w:p>
    <w:p>
      <w:r>
        <w:t>1. Introduce yourself, confirm the client and explain the proposed task in plain language. Ask permission before touching the client, entering a private space or sharing information. Check understanding without pressuring the client.</w:t>
      </w:r>
    </w:p>
    <w:p>
      <w:r>
        <w:t>2. Offer reasonable choices about timing, clothing, food, routines, communication and personal care. Use the client's chosen name and pronouns. Arrange an interpreter or accessible communication when needed; avoid using a person whose involvement compromises privacy or consent.</w:t>
      </w:r>
    </w:p>
    <w:p>
      <w:r>
        <w:t>3. Respect consent as ongoing. A signed service agreement does not mean the client agrees to every task at every visit. A capable client can change their mind or refuse care.</w:t>
      </w:r>
    </w:p>
    <w:p>
      <w:r>
        <w:t>4. If the client refuses, pause, ask about the reason and offer a safe alternative or later attempt. Explain immediate consequences within your competence. Record the task refused, the client's own words where useful, advice sought and any agreed alternative.</w:t>
      </w:r>
    </w:p>
    <w:p>
      <w:r>
        <w:t>5. If understanding or decision-making authority is uncertain, notify management and seek the appropriate assessment or professional advice. Workers do not diagnose incapacity or assume that dementia automatically removes decision-making rights.</w:t>
      </w:r>
    </w:p>
    <w:p>
      <w:r>
        <w:t>6. Verify the scope and applicability of a personal directive, guardianship order or other authority before relying on it. Keep a record of what was checked. A decision-maker for one matter may not have authority for another.</w:t>
      </w:r>
    </w:p>
    <w:p>
      <w:r>
        <w:t>7. Protect privacy through doors, draping and minimum necessary assistance. Invite family participation only with the client's agreement or other lawful authority. Do not make access to care conditional on a testimonial, photograph or promotional consent.</w:t>
      </w:r>
    </w:p>
    <w:p>
      <w:r>
        <w:t>8. Provide the client with their service and complaint information. Explain that raising a concern will not result in punishment or withdrawal of appropriate care. Coordinate urgent safety responses under the emergency policy.</w:t>
      </w:r>
    </w:p>
    <w:p>
      <w:pPr>
        <w:pStyle w:val="Heading2"/>
      </w:pPr>
      <w:r>
        <w:t>Records and management check</w:t>
      </w:r>
    </w:p>
    <w:p>
      <w:r>
        <w:t>Document consent, refusals, communication supports and verified representative authority in the client record. Keep promotional consent separate.</w:t>
      </w:r>
    </w:p>
    <w:p>
      <w:r>
        <w:t>Review rights and communication needs at admission, after a complaint and when needs or decision-making arrangements change.</w:t>
      </w:r>
    </w:p>
    <w:p>
      <w:bookmarkStart w:id="5" w:name="policy_5"/>
      <w:pPr>
        <w:pStyle w:val="Heading1"/>
        <w:pageBreakBefore/>
      </w:pPr>
      <w:r>
        <w:t>5 Individual care plans and reassessment</w:t>
      </w:r>
      <w:bookmarkEnd w:id="5"/>
    </w:p>
    <w:p>
      <w:pPr>
        <w:pStyle w:val="Small"/>
      </w:pPr>
      <w:r>
        <w:t>Responsible person  Care coordinator and appropriately qualified assessor</w:t>
      </w:r>
    </w:p>
    <w:p>
      <w:pPr>
        <w:pStyle w:val="Heading2"/>
      </w:pPr>
      <w:r>
        <w:t>Policy</w:t>
      </w:r>
    </w:p>
    <w:p>
      <w:r>
        <w:t>A written plan governs each visit and specifies authorized tasks, risks, visit frequency, goals, preferences and escalation contacts.</w:t>
      </w:r>
    </w:p>
    <w:p>
      <w:pPr>
        <w:pStyle w:val="Heading2"/>
      </w:pPr>
      <w:r>
        <w:t>Detailed procedure</w:t>
      </w:r>
    </w:p>
    <w:p>
      <w:r>
        <w:t>1. Translate assessment findings into a written plan that tells the assigned worker exactly what to do. Include client goals, visit frequency, approved tasks, preferences, equipment, hazards, escalation contacts and tasks that must not be performed.</w:t>
      </w:r>
    </w:p>
    <w:p>
      <w:r>
        <w:t>2. Describe the assistance level for each activity. Specify the assessed transfer method and worker numbers, food texture or swallowing directions supplied by the appropriate professional, and the exact medication support authorized. Do not substitute broad labels such as 'full care' for task instructions.</w:t>
      </w:r>
    </w:p>
    <w:p>
      <w:r>
        <w:t>3. Identify who will provide care between visits and what to do when that support fails. Agree how the client or representative will report a change and how Careland will communicate revised instructions.</w:t>
      </w:r>
    </w:p>
    <w:p>
      <w:r>
        <w:t>4. Review the plan with the client or authorized representative and assigned worker before independent service. Resolve inconsistent hospital discharge, pharmacy or family instructions through the responsible professional.</w:t>
      </w:r>
    </w:p>
    <w:p>
      <w:r>
        <w:t>5. Make the current version available through an approved secure method. Record the effective date and author. Workers must check for changes before the visit and must not expand tasks on their own.</w:t>
      </w:r>
    </w:p>
    <w:p>
      <w:r>
        <w:t>6. Reassess after hospitalization, a fall, medication change, deterioration, new aggression, equipment change or a complaint indicating unmet needs. Arrange urgent review immediately when the existing plan cannot be carried out safely.</w:t>
      </w:r>
    </w:p>
    <w:p>
      <w:r>
        <w:t>7. Review active plans at least every 90 days as a Careland target, even if no change has been reported. Record progress toward the client's own goals and whether the level of support still matches their needs.</w:t>
      </w:r>
    </w:p>
    <w:p>
      <w:r>
        <w:t>8. When a plan changes, confirm staffing, training and insurance again where relevant. Notify affected workers, retire the old working version and document client agreement or any unresolved concern.</w:t>
      </w:r>
    </w:p>
    <w:p>
      <w:pPr>
        <w:pStyle w:val="Heading2"/>
      </w:pPr>
      <w:r>
        <w:t>Records and management check</w:t>
      </w:r>
    </w:p>
    <w:p>
      <w:r>
        <w:t>Use Form C and the task authorization record. Keep dated assessments, authorizations, revisions and evidence that workers received changes.</w:t>
      </w:r>
    </w:p>
    <w:p>
      <w:r>
        <w:t>A monthly file check identifies plans due for review and overdue reassessments.</w:t>
      </w:r>
    </w:p>
    <w:p>
      <w:bookmarkStart w:id="6" w:name="policy_6"/>
      <w:pPr>
        <w:pStyle w:val="Heading1"/>
        <w:pageBreakBefore/>
      </w:pPr>
      <w:r>
        <w:t>6 Staffing screening and credentials</w:t>
      </w:r>
      <w:bookmarkEnd w:id="6"/>
    </w:p>
    <w:p>
      <w:pPr>
        <w:pStyle w:val="Small"/>
      </w:pPr>
      <w:r>
        <w:t>Responsible person  Hiring manager</w:t>
      </w:r>
    </w:p>
    <w:p>
      <w:pPr>
        <w:pStyle w:val="Heading2"/>
      </w:pPr>
      <w:r>
        <w:t>Policy</w:t>
      </w:r>
    </w:p>
    <w:p>
      <w:r>
        <w:t>Careland verifies identity, qualifications, references, relevant background checks and fitness for assigned duties before unsupervised work. Background screening is risk based and consistent with privacy and employment law.</w:t>
      </w:r>
    </w:p>
    <w:p>
      <w:pPr>
        <w:pStyle w:val="Heading2"/>
      </w:pPr>
      <w:r>
        <w:t>Detailed procedure</w:t>
      </w:r>
    </w:p>
    <w:p>
      <w:r>
        <w:t>1. Create a written role description before recruiting. Identify essential duties, competence, required registration, travel expectations, supervision and physical demands. Distinguish a companion role from a health care aide or regulated clinical role.</w:t>
      </w:r>
    </w:p>
    <w:p>
      <w:r>
        <w:t>2. Use consistent job-related interview questions and record the reasons for selection. Request only personal information needed for a lawful hiring purpose and arrange recruitment accommodation when required.</w:t>
      </w:r>
    </w:p>
    <w:p>
      <w:r>
        <w:t>3. Verify identity and work eligibility at the appropriate stage. With permission, check relevant employment and professional references, qualifications and training. Resolve unexplained inconsistencies before independent assignment.</w:t>
      </w:r>
    </w:p>
    <w:p>
      <w:r>
        <w:t>4. Alberta HCA regulation took effect on 2 February 2026. For an HCA appointment, check the College of LPNs and HCAs of Alberta public register, current permit, registration category, conditions and required supervision. An old HCA Directory entry or certificate alone is insufficient.</w:t>
      </w:r>
    </w:p>
    <w:p>
      <w:r>
        <w:t>5. Where a worker has provisional or transitional status, document the applicable supervision arrangement and verify that Careland can provide it. Do not schedule independent duties that conflict with permit conditions.</w:t>
      </w:r>
    </w:p>
    <w:p>
      <w:r>
        <w:t>6. Obtain the criminal record and vulnerable sector screening required for the role, eligibility, care setting and payer. Verify the result and date rather than recording only that a check was requested. Follow applicable privacy and human-rights requirements when considering information.</w:t>
      </w:r>
    </w:p>
    <w:p>
      <w:r>
        <w:t>7. Confirm role-specific first aid, CPR, infection prevention and task competence. Verify professional liability insurance where required by a regulator or contract, while maintaining Careland's own appropriate coverage.</w:t>
      </w:r>
    </w:p>
    <w:p>
      <w:r>
        <w:t>8. Issue written terms covering duties, pay, hours, reporting, confidentiality and supervision. Enter credential and insurance expiry dates in a register; remove or restrict affected assignments when authority expires.</w:t>
      </w:r>
    </w:p>
    <w:p>
      <w:r>
        <w:t>9. Maintain separate restricted records for identity, medical or accommodation information and routine competency documentation. Do not distribute background checks to clients or colleagues without authority.</w:t>
      </w:r>
    </w:p>
    <w:p>
      <w:pPr>
        <w:pStyle w:val="Heading2"/>
      </w:pPr>
      <w:r>
        <w:t>Records and management check</w:t>
      </w:r>
    </w:p>
    <w:p>
      <w:r>
        <w:t>Use Form H and retain verification dates, sources, conditions, references and the signed offer in the restricted personnel file.</w:t>
      </w:r>
    </w:p>
    <w:p>
      <w:r>
        <w:t>The scheduler checks active status before first assignment and the manager reviews the expiry register monthly.</w:t>
      </w:r>
    </w:p>
    <w:p>
      <w:bookmarkStart w:id="7" w:name="policy_7"/>
      <w:pPr>
        <w:pStyle w:val="Heading1"/>
        <w:pageBreakBefore/>
      </w:pPr>
      <w:r>
        <w:t>7 Orientation training and competency</w:t>
      </w:r>
      <w:bookmarkEnd w:id="7"/>
    </w:p>
    <w:p>
      <w:pPr>
        <w:pStyle w:val="Small"/>
      </w:pPr>
      <w:r>
        <w:t>Responsible person  Supervisor or qualified trainer</w:t>
      </w:r>
    </w:p>
    <w:p>
      <w:pPr>
        <w:pStyle w:val="Heading2"/>
      </w:pPr>
      <w:r>
        <w:t>Policy</w:t>
      </w:r>
    </w:p>
    <w:p>
      <w:r>
        <w:t>No worker performs a task without documented instruction, demonstrated competence and required authorization.</w:t>
      </w:r>
    </w:p>
    <w:p>
      <w:pPr>
        <w:pStyle w:val="Heading2"/>
      </w:pPr>
      <w:r>
        <w:t>Detailed procedure</w:t>
      </w:r>
    </w:p>
    <w:p>
      <w:r>
        <w:t>1. Before independent work, explain Careland's scope, client rights, consent, privacy, professional boundaries and complaint routes. Give the worker the current policies and completed reporting contacts.</w:t>
      </w:r>
    </w:p>
    <w:p>
      <w:r>
        <w:t>2. Provide instruction on infection prevention, approved personal care, mobility, medication limits, emergency response, incident reporting and working alone. Cover sexual harassment, discrimination, retaliation and reporting an owner-related concern.</w:t>
      </w:r>
    </w:p>
    <w:p>
      <w:r>
        <w:t>3. Demonstrate each task the worker will perform and observe the worker completing it safely in an appropriate training or supervised setting. A course certificate does not replace assessment of the actual task and equipment.</w:t>
      </w:r>
    </w:p>
    <w:p>
      <w:r>
        <w:t>4. Record the task, assessor, assessment method, date and result. Where a gap remains, set supervised practice or a restricted assignment and a reassessment date. Do not record competence until it has been demonstrated.</w:t>
      </w:r>
    </w:p>
    <w:p>
      <w:r>
        <w:t>5. At the first client assignment, review the current plan, access instructions, hazards, emergency contacts and documentation requirements. Confirm who provides supervision and after-hours decisions.</w:t>
      </w:r>
    </w:p>
    <w:p>
      <w:r>
        <w:t>6. Use short scenarios to check understanding: a medication refusal, a missing client, an unsafe transfer and a harassment report. Ask the worker to explain the correct escalation rather than merely signing that they read the manual.</w:t>
      </w:r>
    </w:p>
    <w:p>
      <w:r>
        <w:t>7. Refresh training annually as Careland policy and whenever tasks, equipment, permit conditions, hazards or policies change. Provide further assessment after an incident or concern indicating a competence gap.</w:t>
      </w:r>
    </w:p>
    <w:p>
      <w:r>
        <w:t>8. Keep mandatory employment training and supervision time in payroll records and apply the relevant employment standards. Workers may ask for clarification without retaliation.</w:t>
      </w:r>
    </w:p>
    <w:p>
      <w:pPr>
        <w:pStyle w:val="Heading2"/>
      </w:pPr>
      <w:r>
        <w:t>Records and management check</w:t>
      </w:r>
    </w:p>
    <w:p>
      <w:r>
        <w:t>Use Form H for competence and Form O for policy orientation. Record attendance, assessment evidence, restrictions and reassessment.</w:t>
      </w:r>
    </w:p>
    <w:p>
      <w:r>
        <w:t>Managers must close overdue training items before assigning the affected task.</w:t>
      </w:r>
    </w:p>
    <w:p>
      <w:bookmarkStart w:id="8" w:name="policy_8"/>
      <w:pPr>
        <w:pStyle w:val="Heading1"/>
        <w:pageBreakBefore/>
      </w:pPr>
      <w:r>
        <w:t>8 Scheduling attendance and continuity</w:t>
      </w:r>
      <w:bookmarkEnd w:id="8"/>
    </w:p>
    <w:p>
      <w:pPr>
        <w:pStyle w:val="Small"/>
      </w:pPr>
      <w:r>
        <w:t>Responsible person  Scheduler and on-call manager</w:t>
      </w:r>
    </w:p>
    <w:p>
      <w:pPr>
        <w:pStyle w:val="Heading2"/>
      </w:pPr>
      <w:r>
        <w:t>Policy</w:t>
      </w:r>
    </w:p>
    <w:p>
      <w:r>
        <w:t>Provide reliable staffing, timely client communication and a contingency plan for absences.</w:t>
      </w:r>
    </w:p>
    <w:p>
      <w:pPr>
        <w:pStyle w:val="Heading2"/>
      </w:pPr>
      <w:r>
        <w:t>Detailed procedure</w:t>
      </w:r>
    </w:p>
    <w:p>
      <w:r>
        <w:t>1. Match the client's approved needs with the worker's competence, permit conditions, availability, language support and safety requirements. Include realistic travel and handover time.</w:t>
      </w:r>
    </w:p>
    <w:p>
      <w:r>
        <w:t>2. Confirm the visit date, start, end, tasks and access arrangements with the client and worker. Use a secure roster and avoid placing diagnoses or detailed allegations in a general scheduling message.</w:t>
      </w:r>
    </w:p>
    <w:p>
      <w:r>
        <w:t>3. Before the visit, the worker reviews the current care plan and checks for changes. The worker checks in at arrival and checks out when leaving through the approved system.</w:t>
      </w:r>
    </w:p>
    <w:p>
      <w:r>
        <w:t>4. Require workers to report lateness or absence as soon as known. The scheduler assesses time-sensitive client needs, tells the client about delays, and arranges an appropriately qualified substitute. A replacement must receive the plan and hazards before attending.</w:t>
      </w:r>
    </w:p>
    <w:p>
      <w:r>
        <w:t>5. If a worker or client cannot be reached, use the client's agreed no-answer procedure and the lone-worker escalation plan. Do not simply mark a visit cancelled when a dependent client may be at risk.</w:t>
      </w:r>
    </w:p>
    <w:p>
      <w:r>
        <w:t>6. If coverage cannot be secured, notify the manager immediately. Contact the client or authorized support, arrange an agreed safe alternative and call emergency services when an urgent safety risk requires it. Record missed care and the handover.</w:t>
      </w:r>
    </w:p>
    <w:p>
      <w:r>
        <w:t>7. For overnight, live-in or 24-hour support, distinguish paid work, permitted rest arrangements, relief and responsibilities during an interruption. Verify Alberta's caregiver-specific employment rules before setting pay or schedules; do not assume one worker can safely provide continuous coverage.</w:t>
      </w:r>
    </w:p>
    <w:p>
      <w:r>
        <w:t>8. Record actual hours and breaks accurately. Changes require an audit trail and must not conceal overtime, travel or unpaid mandatory duties. Fatigue concerns trigger a staffing review.</w:t>
      </w:r>
    </w:p>
    <w:p>
      <w:pPr>
        <w:pStyle w:val="Heading2"/>
      </w:pPr>
      <w:r>
        <w:t>Records and management check</w:t>
      </w:r>
    </w:p>
    <w:p>
      <w:r>
        <w:t>Use the roster, Form K, visit records and a missed-visit log. Record the person who accepted any handover.</w:t>
      </w:r>
    </w:p>
    <w:p>
      <w:r>
        <w:t>Review missed and late visits weekly and correct recurring scheduling or coverage gaps.</w:t>
      </w:r>
    </w:p>
    <w:p>
      <w:bookmarkStart w:id="9" w:name="policy_9"/>
      <w:pPr>
        <w:pStyle w:val="Heading1"/>
        <w:pageBreakBefore/>
      </w:pPr>
      <w:r>
        <w:t>9 Professional conduct boundaries and gifts</w:t>
      </w:r>
      <w:bookmarkEnd w:id="9"/>
    </w:p>
    <w:p>
      <w:pPr>
        <w:pStyle w:val="Small"/>
      </w:pPr>
      <w:r>
        <w:t>Responsible person  Every worker and supervisor</w:t>
      </w:r>
    </w:p>
    <w:p>
      <w:pPr>
        <w:pStyle w:val="Heading2"/>
      </w:pPr>
      <w:r>
        <w:t>Policy</w:t>
      </w:r>
    </w:p>
    <w:p>
      <w:r>
        <w:t>Workers maintain professional boundaries; no exploitation, harassment, private borrowing/lending, unauthorized photographs or social-media posts. Personal relationships, gifts and financial transactions are reported to management.</w:t>
      </w:r>
    </w:p>
    <w:p>
      <w:pPr>
        <w:pStyle w:val="Heading2"/>
      </w:pPr>
      <w:r>
        <w:t>Detailed procedure</w:t>
      </w:r>
    </w:p>
    <w:p>
      <w:r>
        <w:t>1. Use respectful communication, suitable identification and appropriate work clothing. Attend fit for assigned duties; report any impairment or limitation through a private management route.</w:t>
      </w:r>
    </w:p>
    <w:p>
      <w:r>
        <w:t>2. Maintain the care relationship within agreed services. Do not borrow or lend money, seek personal financial help, solicit gifts, enter a client's will arrangements or use a client's accounts for personal benefit.</w:t>
      </w:r>
    </w:p>
    <w:p>
      <w:r>
        <w:t>3. Declare gifts, personal relationships, outside paid work for a current client and other potential conflicts before accepting an arrangement. Management decides and records whether a limited, appropriate exception is allowed.</w:t>
      </w:r>
    </w:p>
    <w:p>
      <w:r>
        <w:t>4. For authorized shopping, agree the spending limit and payment method in advance. Obtain itemized receipts, return change promptly and record the reconciliation. Do not keep a client's card or PIN or become an account signatory.</w:t>
      </w:r>
    </w:p>
    <w:p>
      <w:r>
        <w:t>5. Use the key or access-code register. Take only authorized keys, store them securely and return them on reassignment or discharge. Report loss immediately and arrange a safe access response.</w:t>
      </w:r>
    </w:p>
    <w:p>
      <w:r>
        <w:t>6. Do not take client photographs, recordings or screenshots on personal devices, discuss clients on social media or post testimonials without separate valid authorization and management approval.</w:t>
      </w:r>
    </w:p>
    <w:p>
      <w:r>
        <w:t>7. Report suspected exploitation, a boundary violation or an allegation promptly. Preserve relevant records and avoid discussing the allegation in staff groups. Sections 10 and 25 to 28 govern safeguarding and workplace responses.</w:t>
      </w:r>
    </w:p>
    <w:p>
      <w:r>
        <w:t>8. Supervisors investigate fairly and consider immediate client protection, worker support and financial controls. An allegation is not a finding, and corrective action must follow an impartial assessment.</w:t>
      </w:r>
    </w:p>
    <w:p>
      <w:pPr>
        <w:pStyle w:val="Heading2"/>
      </w:pPr>
      <w:r>
        <w:t>Records and management check</w:t>
      </w:r>
    </w:p>
    <w:p>
      <w:r>
        <w:t>Record authorized purchases, receipts, gifts, conflicts, key issues and decisions in the appropriate restricted register.</w:t>
      </w:r>
    </w:p>
    <w:p>
      <w:r>
        <w:t>Managers sample purchase reconciliations and unresolved boundary concerns monthly.</w:t>
      </w:r>
    </w:p>
    <w:p>
      <w:bookmarkStart w:id="10" w:name="policy_10"/>
      <w:pPr>
        <w:pStyle w:val="Heading1"/>
        <w:pageBreakBefore/>
      </w:pPr>
      <w:r>
        <w:t>10 Abuse neglect and safeguarding</w:t>
      </w:r>
      <w:bookmarkEnd w:id="10"/>
    </w:p>
    <w:p>
      <w:pPr>
        <w:pStyle w:val="Small"/>
      </w:pPr>
      <w:r>
        <w:t>Responsible person  All workers with immediate management escalation</w:t>
      </w:r>
    </w:p>
    <w:p>
      <w:pPr>
        <w:pStyle w:val="Heading2"/>
      </w:pPr>
      <w:r>
        <w:t>Policy</w:t>
      </w:r>
    </w:p>
    <w:p>
      <w:r>
        <w:t>Zero tolerance for abuse, neglect, discrimination and financial exploitation. Protect the client immediately and meet applicable reporting duties.</w:t>
      </w:r>
    </w:p>
    <w:p>
      <w:pPr>
        <w:pStyle w:val="Heading2"/>
      </w:pPr>
      <w:r>
        <w:t>Detailed procedure</w:t>
      </w:r>
    </w:p>
    <w:p>
      <w:r>
        <w:t>1. Treat concerns about physical, sexual, emotional or financial abuse, neglect, intimidation or exploitation seriously, regardless of who is involved. Look for immediate care needs and danger before beginning administrative reporting.</w:t>
      </w:r>
    </w:p>
    <w:p>
      <w:r>
        <w:t>2. Move to safety and call 911 when there is immediate danger, serious injury or a suspected urgent offence. Arrange necessary medical support within the client's consent and applicable emergency authority.</w:t>
      </w:r>
    </w:p>
    <w:p>
      <w:r>
        <w:t>3. Listen without blame or leading questions. Record the person's own words where possible, when and where the concern arose, what you observed and what you did. Do not promise absolute secrecy or try to prove the allegation yourself.</w:t>
      </w:r>
    </w:p>
    <w:p>
      <w:r>
        <w:t>4. Notify the designated manager as soon as it is safe, or the independent alternate if management is implicated. Protect relevant messages, visit records, receipts and access logs; do not edit original notes.</w:t>
      </w:r>
    </w:p>
    <w:p>
      <w:r>
        <w:t>5. Management separates safeguarding from employment findings. Arrange safe interim care and an impartial investigation, without presenting temporary restrictions as proof that an allegation is true.</w:t>
      </w:r>
    </w:p>
    <w:p>
      <w:r>
        <w:t>6. Determine external duties immediately. For covered publicly funded care, check Protection for Persons in Care reporting requirements; do not assume that every private arrangement is covered. Also assess continuing care notifications, police, child protection, professional regulator and payer obligations as applicable.</w:t>
      </w:r>
    </w:p>
    <w:p>
      <w:r>
        <w:t>7. Where a Continuing Care Duty to Notify event is reportable, submit through the official route as soon as reasonably possible and no later than 48 hours. Use the current decision guide and do not wait for an internal investigation to conclude.</w:t>
      </w:r>
    </w:p>
    <w:p>
      <w:r>
        <w:t>8. Keep the client or authorized representative informed of relevant safety steps without disclosing unrelated employee information. Do not contact a suspected abuser in a way that increases risk or interferes with police or protective proceedings.</w:t>
      </w:r>
    </w:p>
    <w:p>
      <w:r>
        <w:t>9. Reassess the care plan and access controls, check for retaliation and document the outcome of each referral. Support both fair process and continued safety.</w:t>
      </w:r>
    </w:p>
    <w:p>
      <w:pPr>
        <w:pStyle w:val="Heading2"/>
      </w:pPr>
      <w:r>
        <w:t>Records and management check</w:t>
      </w:r>
    </w:p>
    <w:p>
      <w:r>
        <w:t>Use Form F and the external reporting register. Keep sensitive allegation and investigation material separate from routine visit notes.</w:t>
      </w:r>
    </w:p>
    <w:p>
      <w:r>
        <w:t>The manager verifies each required notification, safety action and follow-up rather than closing the case after a form is submitted.</w:t>
      </w:r>
    </w:p>
    <w:p>
      <w:bookmarkStart w:id="11" w:name="policy_11"/>
      <w:pPr>
        <w:pStyle w:val="Heading1"/>
        <w:pageBreakBefore/>
      </w:pPr>
      <w:r>
        <w:t>11 Infection prevention and control</w:t>
      </w:r>
      <w:bookmarkEnd w:id="11"/>
    </w:p>
    <w:p>
      <w:pPr>
        <w:pStyle w:val="Small"/>
      </w:pPr>
      <w:r>
        <w:t>Responsible person  Every worker and designated infection prevention lead</w:t>
      </w:r>
    </w:p>
    <w:p>
      <w:pPr>
        <w:pStyle w:val="Heading2"/>
      </w:pPr>
      <w:r>
        <w:t>Policy</w:t>
      </w:r>
    </w:p>
    <w:p>
      <w:r>
        <w:t>Use routine precautions, hand hygiene, task-appropriate PPE and safe handling of contaminated materials.</w:t>
      </w:r>
    </w:p>
    <w:p>
      <w:pPr>
        <w:pStyle w:val="Heading2"/>
      </w:pPr>
      <w:r>
        <w:t>Detailed procedure</w:t>
      </w:r>
    </w:p>
    <w:p>
      <w:r>
        <w:t>1. Before a visit, check reported symptoms, exposures and any current clinical or public health instructions. Ask the supervisor about needed controls; the scheduler must consider client vulnerability and worker illness before confirming attendance.</w:t>
      </w:r>
    </w:p>
    <w:p>
      <w:r>
        <w:t>2. Carry the supplies required for assigned tasks, including hand hygiene products and appropriate personal protective equipment. Keep clean supplies separate from used equipment and contaminated laundry.</w:t>
      </w:r>
    </w:p>
    <w:p>
      <w:r>
        <w:t>3. Perform hand hygiene at the appropriate care moments, including before and after client contact and after glove removal. Gloves do not replace hand hygiene. Use soap and water when hands are visibly soiled and follow current infection prevention advice.</w:t>
      </w:r>
    </w:p>
    <w:p>
      <w:r>
        <w:t>4. Choose protective equipment according to the task and exposure assessment. Put it on and remove it as trained. Never reuse single-use equipment or attend a task needing protection that has not been supplied.</w:t>
      </w:r>
    </w:p>
    <w:p>
      <w:r>
        <w:t>5. Follow the manufacturer's cleaning and disinfection instructions, including the correct product and contact time. Clean reusable equipment between clients and keep a record where required.</w:t>
      </w:r>
    </w:p>
    <w:p>
      <w:r>
        <w:t>6. Handle laundry and waste under the agreed plan, avoiding shaking contaminated items. Do not handle sharps beyond authorized training and disposal arrangements. Report a sharp or unexpected body-fluid exposure promptly.</w:t>
      </w:r>
    </w:p>
    <w:p>
      <w:r>
        <w:t>7. If illness or an exposure occurs, stop the unsafe activity, obtain appropriate medical or occupational advice, notify the supervisor and record the event. Management assesses contacts, replacement staffing and any notification duty.</w:t>
      </w:r>
    </w:p>
    <w:p>
      <w:r>
        <w:t>8. Workers report infectious symptoms before attending and follow current exclusion or return-to-work advice. Management protects confidentiality and arranges continuity rather than asking a sick worker to conceal symptoms.</w:t>
      </w:r>
    </w:p>
    <w:p>
      <w:r>
        <w:t>9. Review infection controls after a cluster of illness, changed clinical advice, a supply failure or a care setting change. Train affected workers before the next exposure.</w:t>
      </w:r>
    </w:p>
    <w:p>
      <w:pPr>
        <w:pStyle w:val="Heading2"/>
      </w:pPr>
      <w:r>
        <w:t>Records and management check</w:t>
      </w:r>
    </w:p>
    <w:p>
      <w:r>
        <w:t>Record relevant risks and controls in the care plan, training log and incident record. Keep staff health details restricted.</w:t>
      </w:r>
    </w:p>
    <w:p>
      <w:r>
        <w:t>Monthly supply and equipment checks verify stock, storage, expiry and correct cleaning arrangements.</w:t>
      </w:r>
    </w:p>
    <w:p>
      <w:bookmarkStart w:id="12" w:name="policy_12"/>
      <w:pPr>
        <w:pStyle w:val="Heading1"/>
        <w:pageBreakBefore/>
      </w:pPr>
      <w:r>
        <w:t>12 Medication assistance and administration</w:t>
      </w:r>
      <w:bookmarkEnd w:id="12"/>
    </w:p>
    <w:p>
      <w:pPr>
        <w:pStyle w:val="Small"/>
      </w:pPr>
      <w:r>
        <w:t>Responsible person  Operations manager with the responsible regulated professional</w:t>
      </w:r>
    </w:p>
    <w:p>
      <w:pPr>
        <w:pStyle w:val="Heading2"/>
      </w:pPr>
      <w:r>
        <w:t>Policy</w:t>
      </w:r>
    </w:p>
    <w:p>
      <w:r>
        <w:t>Medication reminders and assistance are distinguished from administration. Administration is permitted only where legally appropriate, within individual worker competence, supported by a documented order/plan, client consent, insurer approval and any required delegation or supervision. Careland does not provide injections. Do not treat an HCA credential alone as authorization to administer all medications.</w:t>
      </w:r>
    </w:p>
    <w:p>
      <w:pPr>
        <w:pStyle w:val="Heading2"/>
      </w:pPr>
      <w:r>
        <w:t>Detailed procedure</w:t>
      </w:r>
    </w:p>
    <w:p>
      <w:r>
        <w:t>1. At intake, distinguish a reminder, assistance with a client's self-administration and administration. Record the exact support authorized; do not use 'medication help' as the only instruction.</w:t>
      </w:r>
    </w:p>
    <w:p>
      <w:r>
        <w:t>2. Obtain a current medication list and instructions from an authorized prescriber or pharmacy source. Confirm allergies, storage, the person managing refills, and the professional contact for questions. Resolve conflicting directions before providing the affected support.</w:t>
      </w:r>
    </w:p>
    <w:p>
      <w:r>
        <w:t>3. Before administration is accepted, document legal authority, professional direction or delegation where required, supervision, client consent, the worker's current competence and insurer approval. Careland's current plan excludes injections.</w:t>
      </w:r>
    </w:p>
    <w:p>
      <w:r>
        <w:t>4. At the visit, confirm the client, written instructions, medication label and authorized task. Check any required timing and observations according to the professional plan. If something does not match, stop the affected task and seek advice.</w:t>
      </w:r>
    </w:p>
    <w:p>
      <w:r>
        <w:t>5. Respect refusal and immediately assess whether clinical advice or urgent assistance is needed. Never force medication or conceal it in food without a lawful, specifically authorized plan. Do not independently crush tablets, change a dose or use another person's supply.</w:t>
      </w:r>
    </w:p>
    <w:p>
      <w:r>
        <w:t>6. Record only support actually provided. Complete the medication record promptly with actual time, action and worker identification. Record refusals, omissions and advice separately; do not sign in advance or use a visit note as proof of an unrecorded dose.</w:t>
      </w:r>
    </w:p>
    <w:p>
      <w:r>
        <w:t>7. For an error or suspected reaction, prioritize safety, obtain urgent clinical or emergency advice, notify management and follow the advice received. Do not independently give an extra dose to correct a missed one.</w:t>
      </w:r>
    </w:p>
    <w:p>
      <w:r>
        <w:t>8. Use a documented handover for medication changes and pending advice. Controlled medications require an additional approved control and reconciliation process before Careland accepts responsibility.</w:t>
      </w:r>
    </w:p>
    <w:p>
      <w:r>
        <w:t>9. Keep blank medication forms inactive until client-specific instructions and authorization are complete. The template itself does not authorize medication administration.</w:t>
      </w:r>
    </w:p>
    <w:p>
      <w:pPr>
        <w:pStyle w:val="Heading2"/>
      </w:pPr>
      <w:r>
        <w:t>Records and management check</w:t>
      </w:r>
    </w:p>
    <w:p>
      <w:r>
        <w:t>Use Form E only for authorized medication support, Form R for discrepancies and Form Q for task authorization.</w:t>
      </w:r>
    </w:p>
    <w:p>
      <w:r>
        <w:t>The manager checks medication records for unexplained gaps and escalates errors to an appropriately qualified reviewer.</w:t>
      </w:r>
    </w:p>
    <w:p>
      <w:bookmarkStart w:id="13" w:name="policy_13"/>
      <w:pPr>
        <w:pStyle w:val="Heading1"/>
        <w:pageBreakBefore/>
      </w:pPr>
      <w:r>
        <w:t>13 Personal care mobility and fall prevention</w:t>
      </w:r>
      <w:bookmarkEnd w:id="13"/>
    </w:p>
    <w:p>
      <w:pPr>
        <w:pStyle w:val="Small"/>
      </w:pPr>
      <w:r>
        <w:t>Responsible person  Assigned competent worker and care coordinator</w:t>
      </w:r>
    </w:p>
    <w:p>
      <w:pPr>
        <w:pStyle w:val="Heading2"/>
      </w:pPr>
      <w:r>
        <w:t>Policy</w:t>
      </w:r>
    </w:p>
    <w:p>
      <w:r>
        <w:t>Provide bathing, dressing, grooming, toileting, continence support and feeding assistance only as assessed and authorized. Avoid unsafe lifting and transfers.</w:t>
      </w:r>
    </w:p>
    <w:p>
      <w:pPr>
        <w:pStyle w:val="Heading2"/>
      </w:pPr>
      <w:r>
        <w:t>Detailed procedure</w:t>
      </w:r>
    </w:p>
    <w:p>
      <w:r>
        <w:t>1. Review the care plan before bathing, dressing, grooming, toileting, continence care, eating support or mobility assistance. Confirm consent, privacy, supplies and the assessed assistance level.</w:t>
      </w:r>
    </w:p>
    <w:p>
      <w:r>
        <w:t>2. Check the immediate environment for wet floors, obstacles, temperature, equipment faults and safe access. Ask about pain, dizziness or a change in ability. Stop when the planned method is no longer safe.</w:t>
      </w:r>
    </w:p>
    <w:p>
      <w:r>
        <w:t>3. Explain each part of personal care, offer choices and encourage the client's own abilities. Use protective equipment as assessed and protect skin and dignity. Report new skin damage or discomfort without diagnosing or initiating unapproved treatment.</w:t>
      </w:r>
    </w:p>
    <w:p>
      <w:r>
        <w:t>4. For transfers, follow the assessed technique, number of workers and equipment instructions. Do not manually lift a client under Careland's current scope. Do not use a family member as a substitute for a required trained worker.</w:t>
      </w:r>
    </w:p>
    <w:p>
      <w:r>
        <w:t>5. Use mobility aids only as assessed and authorized. Do not repair, modify or improvise equipment. Isolate an unsafe item where feasible and report it for replacement or professional review.</w:t>
      </w:r>
    </w:p>
    <w:p>
      <w:r>
        <w:t>6. For eating assistance, follow the documented diet, texture and swallowing instructions. Position and assist only as trained. Stop and seek urgent help if choking, breathing problems or other acute danger develops.</w:t>
      </w:r>
    </w:p>
    <w:p>
      <w:r>
        <w:t>7. After a fall, assess immediate danger and obtain appropriate emergency help. Do not automatically lift the client or move a suspected injured person except where necessary for immediate safety. Follow trained first aid and responder directions.</w:t>
      </w:r>
    </w:p>
    <w:p>
      <w:r>
        <w:t>8. Report falls and near misses, record the observed facts and arrange reassessment before returning to an unsafe task. Revisit lighting, footwear, toileting routines, staffing and equipment with the appropriate assessor.</w:t>
      </w:r>
    </w:p>
    <w:p>
      <w:pPr>
        <w:pStyle w:val="Heading2"/>
      </w:pPr>
      <w:r>
        <w:t>Records and management check</w:t>
      </w:r>
    </w:p>
    <w:p>
      <w:r>
        <w:t>Document care given or declined, changes observed and notifications in Form D. Use Form F for a fall or near miss.</w:t>
      </w:r>
    </w:p>
    <w:p>
      <w:r>
        <w:t>The coordinator checks that each mobility plan matches current ability and that corrective actions after falls are complete.</w:t>
      </w:r>
    </w:p>
    <w:p>
      <w:bookmarkStart w:id="14" w:name="policy_14"/>
      <w:pPr>
        <w:pStyle w:val="Heading1"/>
        <w:pageBreakBefore/>
      </w:pPr>
      <w:r>
        <w:t>14 Dementia and responsive behaviours</w:t>
      </w:r>
      <w:bookmarkEnd w:id="14"/>
    </w:p>
    <w:p>
      <w:pPr>
        <w:pStyle w:val="Small"/>
      </w:pPr>
      <w:r>
        <w:t>Responsible person  Care coordinator and assigned worker</w:t>
      </w:r>
    </w:p>
    <w:p>
      <w:pPr>
        <w:pStyle w:val="Heading2"/>
      </w:pPr>
      <w:r>
        <w:t>Policy</w:t>
      </w:r>
    </w:p>
    <w:p>
      <w:r>
        <w:t>Use person-centred, non-punitive support, predictable routines and the least restrictive safe approach.</w:t>
      </w:r>
    </w:p>
    <w:p>
      <w:pPr>
        <w:pStyle w:val="Heading2"/>
      </w:pPr>
      <w:r>
        <w:t>Detailed procedure</w:t>
      </w:r>
    </w:p>
    <w:p>
      <w:r>
        <w:t>1. Develop a person-centred profile with the client's usual routines, communication, meaningful activities, preferences, triggers and sources of reassurance. Include family information with consent or other authority.</w:t>
      </w:r>
    </w:p>
    <w:p>
      <w:r>
        <w:t>2. Introduce yourself, approach calmly, use short explanations and offer one manageable choice at a time. Allow response time and avoid arguing, humiliating, threatening or punishing the client.</w:t>
      </w:r>
    </w:p>
    <w:p>
      <w:r>
        <w:t>3. When distress occurs, check immediate safety and possible unmet needs within your role, such as pain, toileting, fatigue or an unfamiliar environment. Record the events before, during and after the behaviour for professional review.</w:t>
      </w:r>
    </w:p>
    <w:p>
      <w:r>
        <w:t>4. Use the agreed calming and redirection strategies. Do not use restraint, seclusion or unapproved medication to control behaviour. Any restrictive intervention would require separate lawful authority and an approved clinical plan and is not created by this manual.</w:t>
      </w:r>
    </w:p>
    <w:p>
      <w:r>
        <w:t>5. For wandering or an unaccounted-for client, follow the individual's missing-person plan immediately. Notify management and emergency services according to risk; do not delay an urgent response while searching alone.</w:t>
      </w:r>
    </w:p>
    <w:p>
      <w:r>
        <w:t>6. Treat sudden confusion or a marked change from usual behaviour as a possible health change requiring prompt clinical assessment. Do not assume every change is caused by dementia.</w:t>
      </w:r>
    </w:p>
    <w:p>
      <w:r>
        <w:t>7. When sexualized behaviour, harassment or aggression occurs, protect staff and the client, report it and reassess the visit plan. Cognitive impairment may inform the response but does not remove the need for effective worker protection.</w:t>
      </w:r>
    </w:p>
    <w:p>
      <w:r>
        <w:t>8. Agree a safe handover when the current visit cannot continue. Update staffing, environment and care instructions after a qualified review, and inform all assigned workers of relevant changes.</w:t>
      </w:r>
    </w:p>
    <w:p>
      <w:pPr>
        <w:pStyle w:val="Heading2"/>
      </w:pPr>
      <w:r>
        <w:t>Records and management check</w:t>
      </w:r>
    </w:p>
    <w:p>
      <w:r>
        <w:t>Record observations objectively in the visit record and incident form. Avoid labels such as 'difficult' without describing what occurred.</w:t>
      </w:r>
    </w:p>
    <w:p>
      <w:r>
        <w:t>Review patterns, triggers, strategies and worker safety after each significant event.</w:t>
      </w:r>
    </w:p>
    <w:p>
      <w:bookmarkStart w:id="15" w:name="policy_15"/>
      <w:pPr>
        <w:pStyle w:val="Heading1"/>
        <w:pageBreakBefore/>
      </w:pPr>
      <w:r>
        <w:t>15 Housekeeping food and home safety</w:t>
      </w:r>
      <w:bookmarkEnd w:id="15"/>
    </w:p>
    <w:p>
      <w:pPr>
        <w:pStyle w:val="Small"/>
      </w:pPr>
      <w:r>
        <w:t>Responsible person  Assigned worker and supervisor</w:t>
      </w:r>
    </w:p>
    <w:p>
      <w:pPr>
        <w:pStyle w:val="Heading2"/>
      </w:pPr>
      <w:r>
        <w:t>Policy</w:t>
      </w:r>
    </w:p>
    <w:p>
      <w:r>
        <w:t>Light housekeeping and meal support are limited to agreed tasks; hazardous cleaning, heavy moving and unsafe food handling are excluded.</w:t>
      </w:r>
    </w:p>
    <w:p>
      <w:pPr>
        <w:pStyle w:val="Heading2"/>
      </w:pPr>
      <w:r>
        <w:t>Detailed procedure</w:t>
      </w:r>
    </w:p>
    <w:p>
      <w:r>
        <w:t>1. Agree the rooms, tasks, supplies and time available in the care plan. Light housekeeping does not include hazardous cleaning, heavy moving, pest treatment or work requiring specialist equipment.</w:t>
      </w:r>
    </w:p>
    <w:p>
      <w:r>
        <w:t>2. Inspect cleaning products and equipment before use. Follow labels and safety training, keep products in their original labeled containers and never mix chemicals. Stop if ventilation or protection is inadequate.</w:t>
      </w:r>
    </w:p>
    <w:p>
      <w:r>
        <w:t>3. Store cleaning supplies away from food and medications. Protect the client from wet floors, trailing cords and other hazards created during the task. Leave access and emergency exits clear.</w:t>
      </w:r>
    </w:p>
    <w:p>
      <w:r>
        <w:t>4. Before preparing food, check the documented allergies, diet and swallowing instructions and the client's preferences. Use suitable food hygiene and storage practices and report concerns about food availability or unsafe storage.</w:t>
      </w:r>
    </w:p>
    <w:p>
      <w:r>
        <w:t>5. Agree what to do when food or essential supplies are unavailable. Contact management and the client's authorized support rather than using personal money or making an undocumented purchase.</w:t>
      </w:r>
    </w:p>
    <w:p>
      <w:r>
        <w:t>6. Record authorized shopping expenditure and return receipts and change. Follow the financial boundary rules in section 9; staff must not use a client's property or supplies for personal purposes.</w:t>
      </w:r>
    </w:p>
    <w:p>
      <w:r>
        <w:t>7. Report unsafe smoke exposure, infestation, weapons, aggressive animals, structural concerns or a suspected gas leak. Leave immediate danger and arrange emergency assistance when needed.</w:t>
      </w:r>
    </w:p>
    <w:p>
      <w:r>
        <w:t>8. At departure, check that appliances and taps used are safe, essential items and the agreed call device are within reach, and doors are secured according to the client's plan.</w:t>
      </w:r>
    </w:p>
    <w:p>
      <w:pPr>
        <w:pStyle w:val="Heading2"/>
      </w:pPr>
      <w:r>
        <w:t>Records and management check</w:t>
      </w:r>
    </w:p>
    <w:p>
      <w:r>
        <w:t>Record agreed tasks, exclusions, purchases, hazards and unresolved supplies in the care plan and daily record.</w:t>
      </w:r>
    </w:p>
    <w:p>
      <w:r>
        <w:t>Recurring hazards or unmet household needs trigger reassessment rather than repeated informal workarounds.</w:t>
      </w:r>
    </w:p>
    <w:p>
      <w:bookmarkStart w:id="16" w:name="policy_16"/>
      <w:pPr>
        <w:pStyle w:val="Heading1"/>
        <w:pageBreakBefore/>
      </w:pPr>
      <w:r>
        <w:t>16 Lone worker and workplace safety</w:t>
      </w:r>
      <w:bookmarkEnd w:id="16"/>
    </w:p>
    <w:p>
      <w:pPr>
        <w:pStyle w:val="Small"/>
      </w:pPr>
      <w:r>
        <w:t>Responsible person  Manager, designated check-in monitor and every worker</w:t>
      </w:r>
    </w:p>
    <w:p>
      <w:pPr>
        <w:pStyle w:val="Heading2"/>
      </w:pPr>
      <w:r>
        <w:t>Policy</w:t>
      </w:r>
    </w:p>
    <w:p>
      <w:r>
        <w:t>Careland assesses worker hazards and follows applicable Alberta occupational health and safety requirements, including working-alone controls.</w:t>
      </w:r>
    </w:p>
    <w:p>
      <w:pPr>
        <w:pStyle w:val="Heading2"/>
      </w:pPr>
      <w:r>
        <w:t>Detailed procedure</w:t>
      </w:r>
    </w:p>
    <w:p>
      <w:r>
        <w:t>1. Before assigning work alone, assess the site, task, access, communication coverage, violence, visitors, animals, infection, smoke, transfer needs and travel hazards. Consult the worker about hazards and workable controls.</w:t>
      </w:r>
    </w:p>
    <w:p>
      <w:r>
        <w:t>2. Create a client-specific check-in plan with the worker's location, visit times, contact method, monitor, backup and escalation sequence. The monitor must be available and know what to do when a check is missed.</w:t>
      </w:r>
    </w:p>
    <w:p>
      <w:r>
        <w:t>3. Test the phone or other contact method before the visit. If communication is unreliable, arrange a different control such as a second worker or change the visit. A nominal check-in system is insufficient if nobody monitors it.</w:t>
      </w:r>
    </w:p>
    <w:p>
      <w:r>
        <w:t>4. Give the assigned worker the relevant nature and extent of threats and the controls before exposure. Limit disclosure to necessary safety information and keep it current.</w:t>
      </w:r>
    </w:p>
    <w:p>
      <w:r>
        <w:t>5. When a check is overdue, the monitor attempts immediate contact through the agreed route and follows the documented escalation sequence. If safety cannot be confirmed and danger is suspected, contact emergency services without waiting for routine office hours.</w:t>
      </w:r>
    </w:p>
    <w:p>
      <w:r>
        <w:t>6. Workers stop and move away from immediate danger, obtain help and notify management as soon as safe. Do not require confrontation, physical restraint or return to an uncontrolled serious hazard.</w:t>
      </w:r>
    </w:p>
    <w:p>
      <w:r>
        <w:t>7. Record a dangerous-work concern and follow Alberta's applicable reporting and assessment process. Consult affected workers when revising controls. Do not retaliate for reporting safety concerns.</w:t>
      </w:r>
    </w:p>
    <w:p>
      <w:r>
        <w:t>8. After an incident or changed condition, reassess staffing, access, visit timing and site permissions before the next assignment. Confirm that the client has a safe alternative when care must pause.</w:t>
      </w:r>
    </w:p>
    <w:p>
      <w:pPr>
        <w:pStyle w:val="Heading2"/>
      </w:pPr>
      <w:r>
        <w:t>Records and management check</w:t>
      </w:r>
    </w:p>
    <w:p>
      <w:r>
        <w:t>Use Form U and the site hazard assessment. Keep incident details and worker contact information secure.</w:t>
      </w:r>
    </w:p>
    <w:p>
      <w:r>
        <w:t>The manager checks that every scheduled lone visit has an active monitor and backup.</w:t>
      </w:r>
    </w:p>
    <w:p>
      <w:bookmarkStart w:id="17" w:name="policy_17"/>
      <w:pPr>
        <w:pStyle w:val="Heading1"/>
        <w:pageBreakBefore/>
      </w:pPr>
      <w:r>
        <w:t>17 Emergency preparedness</w:t>
      </w:r>
      <w:bookmarkEnd w:id="17"/>
    </w:p>
    <w:p>
      <w:pPr>
        <w:pStyle w:val="Small"/>
      </w:pPr>
      <w:r>
        <w:t>Responsible person  Assigned worker and on-call manager</w:t>
      </w:r>
    </w:p>
    <w:p>
      <w:pPr>
        <w:pStyle w:val="Heading2"/>
      </w:pPr>
      <w:r>
        <w:t>Policy</w:t>
      </w:r>
    </w:p>
    <w:p>
      <w:r>
        <w:t>Prioritize life safety in medical emergencies, fire, severe weather, outages and unsafe home conditions.</w:t>
      </w:r>
    </w:p>
    <w:p>
      <w:pPr>
        <w:pStyle w:val="Heading2"/>
      </w:pPr>
      <w:r>
        <w:t>Detailed procedure</w:t>
      </w:r>
    </w:p>
    <w:p>
      <w:r>
        <w:t>1. Keep a current emergency plan for each client, including the address, access, emergency contact, relevant risks, evacuation needs, critical equipment and safe alternatives if a visit fails.</w:t>
      </w:r>
    </w:p>
    <w:p>
      <w:r>
        <w:t>2. For immediate danger or a medical emergency, call 911 and give the exact location and observed condition. Follow dispatcher instructions and provide first aid only within current training. Notify management after initiating urgent help.</w:t>
      </w:r>
    </w:p>
    <w:p>
      <w:r>
        <w:t>3. Do not infer a resuscitation instruction from age, diagnosis or a family's verbal request. Follow verified applicable medical documentation, law, training and emergency responder direction; escalate uncertainty urgently.</w:t>
      </w:r>
    </w:p>
    <w:p>
      <w:r>
        <w:t>4. For fire, gas or an unsafe building, move away from danger, call emergency services and use the agreed evacuation plan where safe. Tell responders about a dependent person who cannot evacuate independently.</w:t>
      </w:r>
    </w:p>
    <w:p>
      <w:r>
        <w:t>5. For a missing client, use the person's risk-specific plan immediately. Gather last-known location and essential identifying information for responders through a secure route; do not post private information publicly without authority.</w:t>
      </w:r>
    </w:p>
    <w:p>
      <w:r>
        <w:t>6. For outages, severe weather or transport disruption, management prioritizes time-critical visits, contacts affected clients and arranges feasible alternatives. Workers must not use their own vehicle to transport a client under the current service exclusions.</w:t>
      </w:r>
    </w:p>
    <w:p>
      <w:r>
        <w:t>7. If a client dies or appears to have died, follow the documented expected-death or emergency plan and obtain the appropriate professional response. Do not independently certify death or disturb the scene unnecessarily.</w:t>
      </w:r>
    </w:p>
    <w:p>
      <w:r>
        <w:t>8. After the immediate response, complete the incident record, preserve evidence and assess reporting duties. Hold a short debrief, identify gaps in supplies, communication or coverage, and update the plan.</w:t>
      </w:r>
    </w:p>
    <w:p>
      <w:r>
        <w:t>9. Test contact and contingency arrangements at admission and when details change. Run at least an annual staff scenario exercise as Careland policy and record what needs improvement.</w:t>
      </w:r>
    </w:p>
    <w:p>
      <w:pPr>
        <w:pStyle w:val="Heading2"/>
      </w:pPr>
      <w:r>
        <w:t>Records and management check</w:t>
      </w:r>
    </w:p>
    <w:p>
      <w:r>
        <w:t>Use Form I, the individual emergency plan and Form F. Keep details accessible to the assigned worker while protecting privacy.</w:t>
      </w:r>
    </w:p>
    <w:p>
      <w:r>
        <w:t>The manager verifies that high-risk clients have a realistic coverage and evacuation plan.</w:t>
      </w:r>
    </w:p>
    <w:p>
      <w:bookmarkStart w:id="18" w:name="policy_18"/>
      <w:pPr>
        <w:pStyle w:val="Heading1"/>
        <w:pageBreakBefore/>
      </w:pPr>
      <w:r>
        <w:t>18 Incidents near misses and disclosure</w:t>
      </w:r>
      <w:bookmarkEnd w:id="18"/>
    </w:p>
    <w:p>
      <w:pPr>
        <w:pStyle w:val="Small"/>
      </w:pPr>
      <w:r>
        <w:t>Responsible person  All workers and designated incident manager</w:t>
      </w:r>
    </w:p>
    <w:p>
      <w:pPr>
        <w:pStyle w:val="Heading2"/>
      </w:pPr>
      <w:r>
        <w:t>Policy</w:t>
      </w:r>
    </w:p>
    <w:p>
      <w:r>
        <w:t>Report all injuries, falls, medication errors, allegations, missing clients, privacy breaches and near misses promptly without retaliation.</w:t>
      </w:r>
    </w:p>
    <w:p>
      <w:pPr>
        <w:pStyle w:val="Heading2"/>
      </w:pPr>
      <w:r>
        <w:t>Detailed procedure</w:t>
      </w:r>
    </w:p>
    <w:p>
      <w:r>
        <w:t>1. Report injuries, falls, medication discrepancies, missed essential care, alleged abuse, missing clients, privacy breaches, threats and near misses. A near miss still matters because the same weakness may cause harm later.</w:t>
      </w:r>
    </w:p>
    <w:p>
      <w:r>
        <w:t>2. Secure immediate safety, provide trained assistance and call emergency services where required. Notify the manager as soon as it is safe; use the alternate route if the manager is implicated.</w:t>
      </w:r>
    </w:p>
    <w:p>
      <w:r>
        <w:t>3. Complete an objective record before the end of the shift when feasible. State the actual event time, report time, location, people involved, observations, action and notifications. Separate what you saw from what another person told you.</w:t>
      </w:r>
    </w:p>
    <w:p>
      <w:r>
        <w:t>4. Preserve original notes, schedules, electronic records and relevant equipment. Add a dated correction rather than overwriting an original. Limit evidence collection to records you are authorized to access.</w:t>
      </w:r>
    </w:p>
    <w:p>
      <w:r>
        <w:t>5. Management assesses clinical follow-up and external duties promptly. For a reportable Continuing Care Duty to Notify event, report as soon as reasonably possible and within 48 hours using the current official guide and form. Other reporting duties and deadlines must be assessed separately.</w:t>
      </w:r>
    </w:p>
    <w:p>
      <w:r>
        <w:t>6. Appoint a reviewer with the right competence and no conflict. Consider the care plan, training, environment, workload, communication and equipment as well as individual actions.</w:t>
      </w:r>
    </w:p>
    <w:p>
      <w:r>
        <w:t>7. Tell the client or authorized representative the relevant known facts, immediate response and follow-up contact. Do not speculate about blame or disclose unrelated employee or client information.</w:t>
      </w:r>
    </w:p>
    <w:p>
      <w:r>
        <w:t>8. Assign each corrective action to a named person and due date. Verify that the change works before closure. Escalate overdue or repeated failures to the owner or an independent decision-maker where appropriate.</w:t>
      </w:r>
    </w:p>
    <w:p>
      <w:r>
        <w:t>9. Use confidential trend information for learning and staff education. Good-faith incident reporting must not trigger retaliation.</w:t>
      </w:r>
    </w:p>
    <w:p>
      <w:pPr>
        <w:pStyle w:val="Heading2"/>
      </w:pPr>
      <w:r>
        <w:t>Records and management check</w:t>
      </w:r>
    </w:p>
    <w:p>
      <w:r>
        <w:t>Use Form F and the reporting register, supported by restricted evidence and action records.</w:t>
      </w:r>
    </w:p>
    <w:p>
      <w:r>
        <w:t>Review open incidents weekly, with urgent matters monitored until safe controls and notifications are complete.</w:t>
      </w:r>
    </w:p>
    <w:p>
      <w:bookmarkStart w:id="19" w:name="policy_19"/>
      <w:pPr>
        <w:pStyle w:val="Heading1"/>
        <w:pageBreakBefore/>
      </w:pPr>
      <w:r>
        <w:t>19 Privacy confidentiality and records</w:t>
      </w:r>
      <w:bookmarkEnd w:id="19"/>
    </w:p>
    <w:p>
      <w:pPr>
        <w:pStyle w:val="Small"/>
      </w:pPr>
      <w:r>
        <w:t>Responsible person  Designated privacy officer and all workers</w:t>
      </w:r>
    </w:p>
    <w:p>
      <w:pPr>
        <w:pStyle w:val="Heading2"/>
      </w:pPr>
      <w:r>
        <w:t>Policy</w:t>
      </w:r>
    </w:p>
    <w:p>
      <w:r>
        <w:t>Collect only necessary personal information; protect records and comply with applicable Alberta and federal privacy obligations as determined by legal review. Do not assume one statute applies to every record or contract.</w:t>
      </w:r>
    </w:p>
    <w:p>
      <w:pPr>
        <w:pStyle w:val="Heading2"/>
      </w:pPr>
      <w:r>
        <w:t>Detailed procedure</w:t>
      </w:r>
    </w:p>
    <w:p>
      <w:r>
        <w:t>1. Map the personal information Careland collects and the reason for each item. Alberta PIPA generally governs provincially regulated private businesses. Determine any additional health-information, public-body, federal or contract duties for the particular arrangement rather than assuming one law covers every record.</w:t>
      </w:r>
    </w:p>
    <w:p>
      <w:r>
        <w:t>2. Give clients and staff appropriate privacy information. Record consent or another lawful basis, the authorized representatives and limits on sharing. Collect only what is needed for care, employment or another defined lawful purpose.</w:t>
      </w:r>
    </w:p>
    <w:p>
      <w:r>
        <w:t>3. Use individual accounts, appropriate access permissions, strong authentication and approved devices and communication systems. Verify the recipient before sharing information and disclose only what is necessary.</w:t>
      </w:r>
    </w:p>
    <w:p>
      <w:r>
        <w:t>4. Keep paper files locked and electronic records protected. Do not leave records visible in a vehicle, send clinical details in a public group chat or use personal accounts and devices unless specifically authorized with suitable safeguards.</w:t>
      </w:r>
    </w:p>
    <w:p>
      <w:r>
        <w:t>5. Record care promptly and objectively, with the author, actual time and any late-entry explanation. Preserve an audit trail for corrections. Do not copy an earlier visit as if it describes care just provided.</w:t>
      </w:r>
    </w:p>
    <w:p>
      <w:r>
        <w:t>6. Route requests for access, correction, disclosure or a subpoena to the privacy officer promptly. Verify identity and authority, preserve applicable deadlines and document the legal basis for any disclosure or refusal.</w:t>
      </w:r>
    </w:p>
    <w:p>
      <w:r>
        <w:t>7. For a breach, contain exposure, preserve evidence, notify the privacy officer and assess risk. Under PIPA, a breach creating a real risk of significant harm must be reported to the OIPC without unreasonable delay. Assess notices to affected people, contractual partners and other authorities under the applicable rules.</w:t>
      </w:r>
    </w:p>
    <w:p>
      <w:r>
        <w:t>8. Maintain a record-specific retention schedule approved after legal and contract review. Preserve records under a complaint, investigation or legal hold; securely destroy only when authorized and record the disposal.</w:t>
      </w:r>
    </w:p>
    <w:p>
      <w:r>
        <w:t>9. Revoke access promptly when a worker changes roles or leaves. Retrieve keys, devices and paper records and confirm ongoing confidentiality.</w:t>
      </w:r>
    </w:p>
    <w:p>
      <w:pPr>
        <w:pStyle w:val="Heading2"/>
      </w:pPr>
      <w:r>
        <w:t>Records and management check</w:t>
      </w:r>
    </w:p>
    <w:p>
      <w:r>
        <w:t>Use Form S and the access, disclosure, retention and breach registers. Keep investigation and medical records separately restricted.</w:t>
      </w:r>
    </w:p>
    <w:p>
      <w:r>
        <w:t>Review access permissions quarterly and after a breach, new system or staffing change.</w:t>
      </w:r>
    </w:p>
    <w:p>
      <w:bookmarkStart w:id="20" w:name="policy_20"/>
      <w:pPr>
        <w:pStyle w:val="Heading1"/>
        <w:pageBreakBefore/>
      </w:pPr>
      <w:r>
        <w:t>20 Complaints and service recovery</w:t>
      </w:r>
      <w:bookmarkEnd w:id="20"/>
    </w:p>
    <w:p>
      <w:pPr>
        <w:pStyle w:val="Small"/>
      </w:pPr>
      <w:r>
        <w:t>Responsible person  Client service manager or independent alternate</w:t>
      </w:r>
    </w:p>
    <w:p>
      <w:pPr>
        <w:pStyle w:val="Heading2"/>
      </w:pPr>
      <w:r>
        <w:t>Policy</w:t>
      </w:r>
    </w:p>
    <w:p>
      <w:r>
        <w:t>Clients and families may raise service concerns without retaliation. Careland tracks and resolves complaints fairly. Employee concerns, including harassment, discrimination, scheduling, pay and supervision, follow the more detailed procedure in section 27; immediate safeguarding obligations continue to apply.</w:t>
      </w:r>
    </w:p>
    <w:p>
      <w:pPr>
        <w:pStyle w:val="Heading2"/>
      </w:pPr>
      <w:r>
        <w:t>Detailed procedure</w:t>
      </w:r>
    </w:p>
    <w:p>
      <w:r>
        <w:t>1. At admission, give the client a clear verbal and written route for concerns, including an alternate when the normal contact is involved. Accept concerns from clients, families, representatives and witnesses, with appropriate privacy checks.</w:t>
      </w:r>
    </w:p>
    <w:p>
      <w:r>
        <w:t>2. Receive the concern respectfully and record the person's own description, desired outcome, safe contact method and immediate care needs. A written form or signature is not required.</w:t>
      </w:r>
    </w:p>
    <w:p>
      <w:r>
        <w:t>3. Assess safety when the concern is received. Alleged abuse, medication harm, harassment, discrimination or privacy breaches trigger the relevant response as well as service recovery; do not treat them only as dissatisfaction.</w:t>
      </w:r>
    </w:p>
    <w:p>
      <w:r>
        <w:t>4. Acknowledge within two business days as a Careland target. Assign an impartial reviewer and explain the next steps. Employee complaints use section 27, with coordinated safeguarding where necessary.</w:t>
      </w:r>
    </w:p>
    <w:p>
      <w:r>
        <w:t>5. Obtain relevant records and hear the involved people fairly. Clarify disputed facts and preserve original visit and billing records. Avoid requiring the person to confront the worker or repeat a distressing account unnecessarily.</w:t>
      </w:r>
    </w:p>
    <w:p>
      <w:r>
        <w:t>6. Aim to provide a written outcome within 20 business days as an internal service target, with an update at least every ten business days if the review remains open. Explain a revised date if more time is needed.</w:t>
      </w:r>
    </w:p>
    <w:p>
      <w:r>
        <w:t>7. Explain the findings relevant to the client, agreed remedy, who will implement it and how review can be requested. Keep employee investigation details restricted. Apologize for established service failures and correct billing or care arrangements where appropriate.</w:t>
      </w:r>
    </w:p>
    <w:p>
      <w:r>
        <w:t>8. Offer review by someone without a conflict and give the relevant external complaint options. Internal reporting does not restrict external rights or stop a legal filing deadline.</w:t>
      </w:r>
    </w:p>
    <w:p>
      <w:r>
        <w:t>9. Check within two weeks after the outcome that the remedy worked and there has been no retaliation. Record unresolved concerns and analyse recurring themes.</w:t>
      </w:r>
    </w:p>
    <w:p>
      <w:pPr>
        <w:pStyle w:val="Heading2"/>
      </w:pPr>
      <w:r>
        <w:t>Records and management check</w:t>
      </w:r>
    </w:p>
    <w:p>
      <w:r>
        <w:t>Use Form G and a restricted complaint file. Give the client a summary they can retain.</w:t>
      </w:r>
    </w:p>
    <w:p>
      <w:r>
        <w:t>Review complaint trends monthly and connect recurring issues to the quality action log.</w:t>
      </w:r>
    </w:p>
    <w:p>
      <w:bookmarkStart w:id="21" w:name="policy_21"/>
      <w:pPr>
        <w:pStyle w:val="Heading1"/>
        <w:pageBreakBefore/>
      </w:pPr>
      <w:r>
        <w:t>21 Billing invoicing and financial controls</w:t>
      </w:r>
      <w:bookmarkEnd w:id="21"/>
    </w:p>
    <w:p>
      <w:pPr>
        <w:pStyle w:val="Small"/>
      </w:pPr>
      <w:r>
        <w:t>Responsible person  Billing administrator and owner</w:t>
      </w:r>
    </w:p>
    <w:p>
      <w:pPr>
        <w:pStyle w:val="Heading2"/>
      </w:pPr>
      <w:r>
        <w:t>Policy</w:t>
      </w:r>
    </w:p>
    <w:p>
      <w:r>
        <w:t>Fees and payer requirements are transparent. Never bill for undocumented or undelivered services.</w:t>
      </w:r>
    </w:p>
    <w:p>
      <w:pPr>
        <w:pStyle w:val="Heading2"/>
      </w:pPr>
      <w:r>
        <w:t>Detailed procedure</w:t>
      </w:r>
    </w:p>
    <w:p>
      <w:r>
        <w:t>1. Before service, give a written rate and service agreement covering the payer, authorized tasks, visit and cancellation terms, extra charges if adopted and the invoice process. Do not invent fees during billing or assume every service is publicly covered.</w:t>
      </w:r>
    </w:p>
    <w:p>
      <w:r>
        <w:t>2. Verify actual visit records against the schedule and care plan. Record corrections with the reason and author. Never bill for a missed visit as delivered care, overlapping staff time that was not authorized or unsupported service hours.</w:t>
      </w:r>
    </w:p>
    <w:p>
      <w:r>
        <w:t>3. For Client Directed Home Care Invoicing, use the current CDHCI name and provider guide. Confirm Careland's registration and the client's authorized care, service categories and hours before submitting a claim.</w:t>
      </w:r>
    </w:p>
    <w:p>
      <w:r>
        <w:t>4. Apply the current payer's submission and documentation rules. Keep separately agreed private services clear so the same time is not billed twice. Provide the client with the claim statement required by the program.</w:t>
      </w:r>
    </w:p>
    <w:p>
      <w:r>
        <w:t>5. Prepare an itemized invoice showing the service date, description, actual hours, agreed rate and adjustments. Check arithmetic, payer details and any tax treatment with appropriate accounting advice.</w:t>
      </w:r>
    </w:p>
    <w:p>
      <w:r>
        <w:t>6. Reconcile the payment received against the invoice or claim. Investigate rejected or partial claims, document corrections and contact the payer through a verified channel. Do not promise a reimbursement date that has not been confirmed.</w:t>
      </w:r>
    </w:p>
    <w:p>
      <w:r>
        <w:t>7. Keep employee payroll separate from client collections. Plan cash reserves so a delayed payer claim does not become an informal reason to delay wages. Verify caregiver-specific pay, overtime, rest and minimum-pay rules.</w:t>
      </w:r>
    </w:p>
    <w:p>
      <w:r>
        <w:t>8. Use a second review of invoices and reconciliations where staffing permits. If the owner performs both roles, record a periodic independent accounting review as a compensating control.</w:t>
      </w:r>
    </w:p>
    <w:p>
      <w:r>
        <w:t>9. Protect payment information and never store card details in a visit note or shared spreadsheet without an approved secure process.</w:t>
      </w:r>
    </w:p>
    <w:p>
      <w:pPr>
        <w:pStyle w:val="Heading2"/>
      </w:pPr>
      <w:r>
        <w:t>Records and management check</w:t>
      </w:r>
    </w:p>
    <w:p>
      <w:r>
        <w:t>Use Form K, signed agreements, invoices, claim statements, payment reconciliations and an adjustment log.</w:t>
      </w:r>
    </w:p>
    <w:p>
      <w:r>
        <w:t>Review unpaid accounts and rejected claims weekly and audit a sample of billed visits monthly.</w:t>
      </w:r>
    </w:p>
    <w:p>
      <w:bookmarkStart w:id="22" w:name="policy_22"/>
      <w:pPr>
        <w:pStyle w:val="Heading1"/>
        <w:pageBreakBefore/>
      </w:pPr>
      <w:r>
        <w:t>22 Insurance contracts and external providers</w:t>
      </w:r>
      <w:bookmarkEnd w:id="22"/>
    </w:p>
    <w:p>
      <w:pPr>
        <w:pStyle w:val="Small"/>
      </w:pPr>
      <w:r>
        <w:t>Responsible person  Owner with broker and appropriate advisers</w:t>
      </w:r>
    </w:p>
    <w:p>
      <w:pPr>
        <w:pStyle w:val="Heading2"/>
      </w:pPr>
      <w:r>
        <w:t>Policy</w:t>
      </w:r>
    </w:p>
    <w:p>
      <w:r>
        <w:t>Maintain coverage appropriate to actual services and contract requirements. Do not represent Careland as insured for a service until coverage is confirmed in writing.</w:t>
      </w:r>
    </w:p>
    <w:p>
      <w:pPr>
        <w:pStyle w:val="Heading2"/>
      </w:pPr>
      <w:r>
        <w:t>Detailed procedure</w:t>
      </w:r>
    </w:p>
    <w:p>
      <w:r>
        <w:t>1. Describe actual and planned services accurately to the broker, including personal care, medication support, overnight visits, work in other care settings and the use of employees or contractors.</w:t>
      </w:r>
    </w:p>
    <w:p>
      <w:r>
        <w:t>2. Obtain written confirmation of commercial general liability, professional liability and fidelity or crime coverage relevant to the business. Review exclusions, limits, deductibles, claims conditions and who is insured.</w:t>
      </w:r>
    </w:p>
    <w:p>
      <w:r>
        <w:t>3. Confirm any Alberta Blue Cross or other payer insurance requirement directly against the current written agreement. The earlier requested 5 million dollars per occurrence and 10 million dollars aggregate must not be treated as a universal legal standard.</w:t>
      </w:r>
    </w:p>
    <w:p>
      <w:r>
        <w:t>4. Maintain a register of policies, insurer, policy number, covered services, expiry and notification conditions. Record the broker's confirmation before accepting a conditional or expanded service.</w:t>
      </w:r>
    </w:p>
    <w:p>
      <w:r>
        <w:t>5. Employee or contractor insurance does not replace Careland's own coverage or establish employment status. Verify professional or contractual individual coverage separately and clarify how claims are reported.</w:t>
      </w:r>
    </w:p>
    <w:p>
      <w:r>
        <w:t>6. Have contracts reviewed for scope, privacy, indemnities, hold-harmless terms, waivers of subrogation, subcontracting and termination responsibilities before signing.</w:t>
      </w:r>
    </w:p>
    <w:p>
      <w:r>
        <w:t>7. Before using an external provider, verify competence, registration where required, screening, insurance and a written service and information-sharing arrangement. Tell the client who is delivering care and obtain any required consent.</w:t>
      </w:r>
    </w:p>
    <w:p>
      <w:r>
        <w:t>8. Notify the broker promptly of circumstances that may require notice under the policy. Preserve evidence and seek advice before admissions, settlement promises or signing a release.</w:t>
      </w:r>
    </w:p>
    <w:p>
      <w:pPr>
        <w:pStyle w:val="Heading2"/>
      </w:pPr>
      <w:r>
        <w:t>Records and management check</w:t>
      </w:r>
    </w:p>
    <w:p>
      <w:r>
        <w:t>Retain certificates, policy documents, endorsements, contracts and written service confirmations in controlled management records.</w:t>
      </w:r>
    </w:p>
    <w:p>
      <w:r>
        <w:t>Review coverage before renewal and whenever service scope, staffing, location or contract requirements change.</w:t>
      </w:r>
    </w:p>
    <w:p>
      <w:bookmarkStart w:id="23" w:name="policy_23"/>
      <w:pPr>
        <w:pStyle w:val="Heading1"/>
        <w:pageBreakBefore/>
      </w:pPr>
      <w:r>
        <w:t>23 Quality assurance and continuous improvement</w:t>
      </w:r>
      <w:bookmarkEnd w:id="23"/>
    </w:p>
    <w:p>
      <w:pPr>
        <w:pStyle w:val="Small"/>
      </w:pPr>
      <w:r>
        <w:t>Responsible person  Owner or quality lead</w:t>
      </w:r>
    </w:p>
    <w:p>
      <w:pPr>
        <w:pStyle w:val="Heading2"/>
      </w:pPr>
      <w:r>
        <w:t>Policy</w:t>
      </w:r>
    </w:p>
    <w:p>
      <w:r>
        <w:t>Measure client satisfaction, incidents, missed visits, care-plan reviews, worker competency and complaints.</w:t>
      </w:r>
    </w:p>
    <w:p>
      <w:pPr>
        <w:pStyle w:val="Heading2"/>
      </w:pPr>
      <w:r>
        <w:t>Detailed procedure</w:t>
      </w:r>
    </w:p>
    <w:p>
      <w:r>
        <w:t>1. Maintain a small quality register using measures Careland can actually verify: missed visits, late visits, care plans due for review, incidents, complaints, credential expiries and task competence.</w:t>
      </w:r>
    </w:p>
    <w:p>
      <w:r>
        <w:t>2. At least monthly, review the register and sample active client files. Check whether authorized tasks match visit records, follow-up is complete and the client understands how to raise a concern.</w:t>
      </w:r>
    </w:p>
    <w:p>
      <w:r>
        <w:t>3. Seek client feedback using an accessible method and consent. Do not fabricate testimonials or pressure clients to provide positive reviews as a condition of service.</w:t>
      </w:r>
    </w:p>
    <w:p>
      <w:r>
        <w:t>4. Compare patterns rather than treating each concern as isolated. Review scheduling, supervision, supplies and instructions where incidents or complaints recur.</w:t>
      </w:r>
    </w:p>
    <w:p>
      <w:r>
        <w:t>5. Choose a practical corrective action, name the responsible person and set a due date. Explain how success will be verified; closing an action requires evidence rather than a promise to remind staff.</w:t>
      </w:r>
    </w:p>
    <w:p>
      <w:r>
        <w:t>6. Discuss relevant lessons with workers using de-identified examples. Reassess competence or a site hazard when the findings indicate a gap.</w:t>
      </w:r>
    </w:p>
    <w:p>
      <w:r>
        <w:t>7. Escalate serious, recurring or overdue concerns to the owner and independent support when needed. Complete any external reporting separately from the internal quality meeting.</w:t>
      </w:r>
    </w:p>
    <w:p>
      <w:r>
        <w:t>8. Record the annual policy review, client feedback themes, staff consultation and changes approved for the next period.</w:t>
      </w:r>
    </w:p>
    <w:p>
      <w:pPr>
        <w:pStyle w:val="Heading2"/>
      </w:pPr>
      <w:r>
        <w:t>Records and management check</w:t>
      </w:r>
    </w:p>
    <w:p>
      <w:r>
        <w:t>Use Form L, the audit record and corrective action log. Protect identities in trend reports.</w:t>
      </w:r>
    </w:p>
    <w:p>
      <w:r>
        <w:t>At the next monthly meeting, confirm whether prior actions reduced the identified problem.</w:t>
      </w:r>
    </w:p>
    <w:p>
      <w:bookmarkStart w:id="24" w:name="policy_24"/>
      <w:pPr>
        <w:pStyle w:val="Heading1"/>
        <w:pageBreakBefore/>
      </w:pPr>
      <w:r>
        <w:t>24 Service suspension discharge and handover</w:t>
      </w:r>
      <w:bookmarkEnd w:id="24"/>
    </w:p>
    <w:p>
      <w:pPr>
        <w:pStyle w:val="Small"/>
      </w:pPr>
      <w:r>
        <w:t>Responsible person  Operations manager and care coordinator</w:t>
      </w:r>
    </w:p>
    <w:p>
      <w:pPr>
        <w:pStyle w:val="Heading2"/>
      </w:pPr>
      <w:r>
        <w:t>Policy</w:t>
      </w:r>
    </w:p>
    <w:p>
      <w:r>
        <w:t>End or pause services safely with reasonable notice where feasible and appropriate coordination.</w:t>
      </w:r>
    </w:p>
    <w:p>
      <w:pPr>
        <w:pStyle w:val="Heading2"/>
      </w:pPr>
      <w:r>
        <w:t>Detailed procedure</w:t>
      </w:r>
    </w:p>
    <w:p>
      <w:r>
        <w:t>1. Record the reason a service may end or pause, such as client choice, changed needs beyond scope, uncontrolled danger, relocation or a contract issue. Do not end care as retaliation for a complaint.</w:t>
      </w:r>
    </w:p>
    <w:p>
      <w:r>
        <w:t>2. Assess the client's dependence and immediate risks before giving notice. Discuss feasible alternatives and coordinate with the client, lawful representative and relevant professionals with appropriate authority.</w:t>
      </w:r>
    </w:p>
    <w:p>
      <w:r>
        <w:t>3. Provide reasonable written notice under the agreement and applicable law where feasible. State the last visit or temporary restrictions, contact person and arrangements for outstanding care. Obtain advice where a proposed termination creates a significant continuity concern.</w:t>
      </w:r>
    </w:p>
    <w:p>
      <w:r>
        <w:t>4. For an immediate hazard, protect the worker and client first and arrange emergency help or a safe handover. Do not require unsafe care to continue; equally, do not treat a scheduler entry as a completed handover.</w:t>
      </w:r>
    </w:p>
    <w:p>
      <w:r>
        <w:t>5. Send only necessary information to the receiving provider with consent or other lawful authority. Record who accepted the handover, the pending tasks and any urgent risk.</w:t>
      </w:r>
    </w:p>
    <w:p>
      <w:r>
        <w:t>6. Reconcile invoices, outstanding authorizations and property. Return client keys and equipment through a documented method and remove access codes from active rosters.</w:t>
      </w:r>
    </w:p>
    <w:p>
      <w:r>
        <w:t>7. Close the client record securely, record the retention and legal-hold status, and preserve complaint or incident records still under review.</w:t>
      </w:r>
    </w:p>
    <w:p>
      <w:r>
        <w:t>8. Where service resumes, complete an updated assessment and plan, confirm staffing and controls, and explain any changes before restarting visits.</w:t>
      </w:r>
    </w:p>
    <w:p>
      <w:pPr>
        <w:pStyle w:val="Heading2"/>
      </w:pPr>
      <w:r>
        <w:t>Records and management check</w:t>
      </w:r>
    </w:p>
    <w:p>
      <w:r>
        <w:t>Use Form P and the discharge checklist. Retain the notice, client communication, accepted handover and property reconciliation.</w:t>
      </w:r>
    </w:p>
    <w:p>
      <w:r>
        <w:t>Management confirms closure only after immediate care gaps and unresolved safety actions have an assigned response.</w:t>
      </w:r>
    </w:p>
    <w:p>
      <w:bookmarkStart w:id="25" w:name="policy_25"/>
      <w:pPr>
        <w:pStyle w:val="Heading1"/>
        <w:pageBreakBefore/>
      </w:pPr>
      <w:r>
        <w:t>25 Sexual harassment and respectful conduct</w:t>
      </w:r>
      <w:bookmarkEnd w:id="25"/>
    </w:p>
    <w:p>
      <w:pPr>
        <w:pStyle w:val="Small"/>
      </w:pPr>
      <w:r>
        <w:t>Responsible person  Designated manager and independent alternate where required</w:t>
      </w:r>
    </w:p>
    <w:p>
      <w:pPr>
        <w:pStyle w:val="Heading2"/>
      </w:pPr>
      <w:r>
        <w:t>Policy</w:t>
      </w:r>
    </w:p>
    <w:p>
      <w:r>
        <w:t>Careland prohibits sexual harassment, bullying and other workplace harassment. This applies to owners, managers, employees, applicants, students, volunteers and contractors, and to conduct involving clients, relatives, visitors or other providers. Work related messages, social media, travel, training and events are covered, including conduct outside a scheduled shift that affects the workplace.</w:t>
      </w:r>
    </w:p>
    <w:p>
      <w:pPr>
        <w:pStyle w:val="Heading2"/>
      </w:pPr>
      <w:r>
        <w:t>Recognizing prohibited conduct</w:t>
      </w:r>
    </w:p>
    <w:p>
      <w:r>
        <w:t>Harassment may be one serious incident or repeated unwelcome conduct that a person knows or reasonably should know would humiliate or offend a worker or harm their health or safety. Sexual harassment includes unwelcome sexual conduct or conduct based on gender, gender identity, gender expression or sexual orientation. A person does not have to object aloud for conduct to be unwelcome.</w:t>
      </w:r>
    </w:p>
    <w:p>
      <w:pPr>
        <w:pStyle w:val="ListBullet"/>
      </w:pPr>
      <w:r>
        <w:t>Sexual comments, intrusive questions, degrading jokes, sexual images or messages, unwanted flirting, touching, exposure or sexual gestures.</w:t>
      </w:r>
    </w:p>
    <w:p>
      <w:pPr>
        <w:pStyle w:val="ListBullet"/>
      </w:pPr>
      <w:r>
        <w:t>Requests for sexual contact linked to hiring, favourable shifts, pay or continued employment, and threats or punishment after rejection.</w:t>
      </w:r>
    </w:p>
    <w:p>
      <w:pPr>
        <w:pStyle w:val="ListBullet"/>
      </w:pPr>
      <w:r>
        <w:t>Insults, intimidation, deliberate humiliation, repeated targeted exclusion or abusive electronic messages. Disagreement or reasonable, respectful supervision alone is not harassment.</w:t>
      </w:r>
    </w:p>
    <w:p>
      <w:pPr>
        <w:pStyle w:val="Heading2"/>
      </w:pPr>
      <w:r>
        <w:t>Employee and supervisor procedure</w:t>
      </w:r>
    </w:p>
    <w:p>
      <w:r>
        <w:t>Employees must maintain professional boundaries, stop their own unwelcome conduct, cooperate with investigations and report concerns through the complaint procedure. If safe and comfortable, an employee may ask that conduct stop. Doing so is optional. Preserve relevant messages and make factual notes; do not circulate offensive material beyond the authorized process.</w:t>
      </w:r>
    </w:p>
    <w:p>
      <w:r>
        <w:t>Supervisors who observe or learn of possible harassment must protect those at risk, report it promptly and preserve evidence. They must not dismiss it as a joke, require an employee to manage it alone, or promise an outcome before an impartial review. Careland responds when it becomes aware of a concern even if no written complaint is made or a report is later withdrawn.</w:t>
      </w:r>
    </w:p>
    <w:p>
      <w:pPr>
        <w:pStyle w:val="Heading2"/>
      </w:pPr>
      <w:r>
        <w:t>Conduct during home care</w:t>
      </w:r>
    </w:p>
    <w:p>
      <w:r>
        <w:t>Sexual or romantic relationships with current clients, exploitation and sexual contact during care are prohibited. Obtain permission before personal care, explain necessary touch, preserve privacy and follow the care plan. Do not exchange personal sexual messages, request intimate images or use care access to seek a personal relationship.</w:t>
      </w:r>
    </w:p>
    <w:p>
      <w:r>
        <w:t>A client condition such as dementia may affect how Careland responds to behaviour, but staff must still be protected. Step back, obtain help and report sexual touching, threats or exposure. Management assesses triggers and care needs, obtains appropriate clinical advice and changes the plan, staffing or setting before further unsafe exposure. Use a safe handover or emergency response when a dependent client needs immediate assistance.</w:t>
      </w:r>
    </w:p>
    <w:p>
      <w:pPr>
        <w:pStyle w:val="Heading2"/>
      </w:pPr>
      <w:r>
        <w:t>Responding to an allegation of sexual misconduct</w:t>
      </w:r>
    </w:p>
    <w:p>
      <w:r>
        <w:t>Receive an allegation without blame, disbelief or a promise about the outcome. Ask only what is needed for immediate protection and referral. Give the person control over reasonable communication and support arrangements.</w:t>
      </w:r>
    </w:p>
    <w:p>
      <w:r>
        <w:t>If sexual assault or another urgent offence may have occurred, address immediate danger and medical needs first. Explain the police and medical options and assess any mandatory reporting duty. Do not conduct a physical examination, demand intimate details or collect forensic evidence yourself.</w:t>
      </w:r>
    </w:p>
    <w:p>
      <w:r>
        <w:t>Preserve the original report, messages and relevant care records securely. Do not circulate intimate images or ask staff to forward them in a group chat. Seek specialist direction where evidence involves a child or unlawful material.</w:t>
      </w:r>
    </w:p>
    <w:p>
      <w:r>
        <w:t>Assess whether the alleged conduct involves a client, worker, manager, visitor or contractor. Use the independent external route if the owner is involved. Apply safeguarding and workplace procedures together where a client and employee may both be at risk.</w:t>
      </w:r>
    </w:p>
    <w:p>
      <w:pPr>
        <w:pStyle w:val="Heading2"/>
      </w:pPr>
      <w:r>
        <w:t>Interim arrangements during a care assignment</w:t>
      </w:r>
    </w:p>
    <w:p>
      <w:r>
        <w:t>Consider different staff or supervision, a second worker, a no-contact instruction or a temporary task restriction. Explain that interim measures protect people while facts are assessed and do not establish guilt.</w:t>
      </w:r>
    </w:p>
    <w:p>
      <w:r>
        <w:t>Consult the reporting person about safety and preferences. Avoid automatically removing their shifts or earnings as the response to reporting. Document the practical effect of every temporary measure and review it regularly.</w:t>
      </w:r>
    </w:p>
    <w:p>
      <w:r>
        <w:t>If the client is alleged to have harassed a worker, discuss appropriate care boundaries and safeguards through management. A client's illness or impairment may affect care planning, but management must still control hazards to workers.</w:t>
      </w:r>
    </w:p>
    <w:p>
      <w:r>
        <w:t>If an employee is alleged to have harmed a client, arrange safe care, protect access to evidence and use a fair employment process. Do not allow the employee to investigate the client or contact witnesses about their evidence.</w:t>
      </w:r>
    </w:p>
    <w:p>
      <w:pPr>
        <w:pStyle w:val="Heading2"/>
      </w:pPr>
      <w:r>
        <w:t>Respectful care example</w:t>
      </w:r>
    </w:p>
    <w:p>
      <w:r>
        <w:t>A client makes repeated sexual comments during bathing support. The worker may stop the task, move to safety and notify the manager. Management records the concern, arranges safe alternative care, assesses triggers and staffing controls, and investigates the workplace incident. The worker is not required to accept the conduct as part of care.</w:t>
      </w:r>
    </w:p>
    <w:p>
      <w:bookmarkStart w:id="26" w:name="policy_26"/>
      <w:pPr>
        <w:pStyle w:val="Heading1"/>
        <w:pageBreakBefore/>
      </w:pPr>
      <w:r>
        <w:t>26 Discrimination and accommodation</w:t>
      </w:r>
      <w:bookmarkEnd w:id="26"/>
    </w:p>
    <w:p>
      <w:pPr>
        <w:pStyle w:val="Small"/>
      </w:pPr>
      <w:r>
        <w:t>Responsible person  Designated manager and independent alternate where required</w:t>
      </w:r>
    </w:p>
    <w:p>
      <w:pPr>
        <w:pStyle w:val="Heading2"/>
      </w:pPr>
      <w:r>
        <w:t>Policy</w:t>
      </w:r>
    </w:p>
    <w:p>
      <w:r>
        <w:t>Careland provides fair access to employment and services and prohibits discrimination. Decisions about hiring, wages, training, assignments, promotion, discipline and ending employment must use relevant, documented criteria. Employees and clients must be treated respectfully regardless of identity or background.</w:t>
      </w:r>
    </w:p>
    <w:p>
      <w:r>
        <w:t>Protected grounds under the Alberta Human Rights Act include race, colour, ancestry, place of origin, religious beliefs, gender including pregnancy, gender identity, gender expression, sexual orientation, age, marital status, family status, physical disability, mental disability and source of income. Careland applies this respect standard throughout its operations, including where its internal protections are broader than a particular statutory provision.</w:t>
      </w:r>
    </w:p>
    <w:p>
      <w:pPr>
        <w:pStyle w:val="Heading2"/>
      </w:pPr>
      <w:r>
        <w:t>Prohibited practices</w:t>
      </w:r>
    </w:p>
    <w:p>
      <w:pPr>
        <w:pStyle w:val="ListBullet"/>
      </w:pPr>
      <w:r>
        <w:t>Racial slurs, accent mockery, religious insults, stereotypes or unequal treatment based on a protected ground.</w:t>
      </w:r>
    </w:p>
    <w:p>
      <w:pPr>
        <w:pStyle w:val="ListBullet"/>
      </w:pPr>
      <w:r>
        <w:t>Denying training, reducing shifts or imposing different standards because of pregnancy, disability, family responsibilities or another protected ground.</w:t>
      </w:r>
    </w:p>
    <w:p>
      <w:pPr>
        <w:pStyle w:val="ListBullet"/>
      </w:pPr>
      <w:r>
        <w:t>Maintaining a rule that disadvantages a person on a protected ground without properly considering accommodation and any lawful occupational requirement.</w:t>
      </w:r>
    </w:p>
    <w:p>
      <w:pPr>
        <w:pStyle w:val="Heading2"/>
      </w:pPr>
      <w:r>
        <w:t>Accommodation procedure</w:t>
      </w:r>
    </w:p>
    <w:p>
      <w:r>
        <w:t>1. Request. The employee or applicant may ask the owner, designated manager or independent alternate for accommodation verbally or in writing. No special legal wording is required. Management must also make appropriate inquiries when circumstances reasonably indicate a need.</w:t>
      </w:r>
    </w:p>
    <w:p>
      <w:r>
        <w:t>2. Understand the need. Discuss work limitations and needed changes privately. Request only information reasonably necessary to assess the request. For disability, focus on functional restrictions, expected duration and safe duties; a specific diagnosis is generally not required. Keep medical information separate from ordinary personnel records.</w:t>
      </w:r>
    </w:p>
    <w:p>
      <w:r>
        <w:t>3. Assess options. Consider changes to schedules, uniforms, equipment, communication, duties, training or accessible processes. Consult the person and assess client safety, worker competence and essential duties individually. Accommodate to the point of undue hardship and document the reasons and supporting evidence for any limit.</w:t>
      </w:r>
    </w:p>
    <w:p>
      <w:r>
        <w:t>4. Implement and review. Record the agreed measures, responsible person, start date and review date. Explain any decision to decline an option, consider alternatives and provide access to the complaint procedure. The employee must cooperate and consider reasonable options. Do not penalize a person for requesting accommodation.</w:t>
      </w:r>
    </w:p>
    <w:p>
      <w:pPr>
        <w:pStyle w:val="Heading2"/>
      </w:pPr>
      <w:r>
        <w:t>Client requests and staffing</w:t>
      </w:r>
    </w:p>
    <w:p>
      <w:r>
        <w:t>Workers must refer requests to exclude staff because of a protected ground to management. Careland will not automatically accept a discriminatory preference. Management assesses any legitimate privacy, cultural, accommodation or care need and obtains advice where required before deciding. Staff must not promise a particular staffing decision to a client or family.</w:t>
      </w:r>
    </w:p>
    <w:p>
      <w:pPr>
        <w:pStyle w:val="Heading2"/>
      </w:pPr>
      <w:r>
        <w:t>Handling a request for accommodation</w:t>
      </w:r>
    </w:p>
    <w:p>
      <w:r>
        <w:t>Record the date, the need described, the job or service barrier, a safe contact method and any urgent temporary measure. A person does not need to use legal terminology or submit the optional form before Careland responds.</w:t>
      </w:r>
    </w:p>
    <w:p>
      <w:r>
        <w:t>Ask for information that explains the functional need and relevant restrictions. Do not seek an entire medical record when more limited information will do. Store medical and accommodation records separately with restricted access.</w:t>
      </w:r>
    </w:p>
    <w:p>
      <w:r>
        <w:t>Assess options with the person and document the expected benefit, feasibility, safety and any remaining barrier. If a trial is appropriate, name the person responsible and set a review date. Do not promise an option that would require unqualified clinical practice.</w:t>
      </w:r>
    </w:p>
    <w:p>
      <w:r>
        <w:t>Explain the decision in writing. If an option is declined, record the specific reasons and alternatives considered; obtain appropriate advice before concluding that accommodation would cause undue hardship. Provide the complaint and review route.</w:t>
      </w:r>
    </w:p>
    <w:p>
      <w:r>
        <w:t>Review an arrangement when needs, duties or client risks change. Share only the work instructions supervisors need, rather than the person's diagnosis or unrelated personal history.</w:t>
      </w:r>
    </w:p>
    <w:p>
      <w:pPr>
        <w:pStyle w:val="Heading2"/>
      </w:pPr>
      <w:r>
        <w:t>Staffing and client preferences</w:t>
      </w:r>
    </w:p>
    <w:p>
      <w:r>
        <w:t>Distinguish a legitimate privacy or support need from a request to exclude a worker because of a protected characteristic. Refer the request to management for an individual assessment. Do not assure a client that a discriminatory request will be accepted.</w:t>
      </w:r>
    </w:p>
    <w:p>
      <w:r>
        <w:t>Use objective, role-related selection and assignment criteria. Document decisions about recruitment, promotion, training, shifts and discipline so they can be reviewed for consistency and discriminatory effect.</w:t>
      </w:r>
    </w:p>
    <w:p>
      <w:bookmarkStart w:id="27" w:name="policy_27"/>
      <w:pPr>
        <w:pStyle w:val="Heading1"/>
        <w:pageBreakBefore/>
      </w:pPr>
      <w:r>
        <w:t>27 Employee complaints investigation and review</w:t>
      </w:r>
      <w:bookmarkEnd w:id="27"/>
    </w:p>
    <w:p>
      <w:pPr>
        <w:pStyle w:val="Small"/>
      </w:pPr>
      <w:r>
        <w:t>Responsible person  Designated manager and independent alternate where required</w:t>
      </w:r>
    </w:p>
    <w:p>
      <w:pPr>
        <w:pStyle w:val="Heading2"/>
      </w:pPr>
      <w:r>
        <w:t>Policy and access</w:t>
      </w:r>
    </w:p>
    <w:p>
      <w:r>
        <w:t>Employees may raise concerns about harassment, discrimination, pay, scheduling, supervision, safety, privacy, unfair treatment or any workplace practice without retaliation. Client service complaints also follow the service complaint policy. Where concerns overlap, management coordinates a response without delaying safeguarding or safety action.</w:t>
      </w:r>
    </w:p>
    <w:p>
      <w:r>
        <w:t>Use the completed reporting contacts in this policy set. Report to the owner or designated manager, or directly to the independent alternate if the primary recipient is involved, unavailable or unsuitable. Concerns involving the owner go to the independent external recipient. Employees may seek external assistance at any time; internal steps are not a prerequisite.</w:t>
      </w:r>
    </w:p>
    <w:p>
      <w:pPr>
        <w:pStyle w:val="Heading2"/>
      </w:pPr>
      <w:r>
        <w:t>How to make a report</w:t>
      </w:r>
    </w:p>
    <w:p>
      <w:r>
        <w:t>Report as soon as reasonably possible, verbally or in writing. The complaint form is optional. Include what happened, when and where, the people involved, witnesses, available evidence, any immediate risk and the safest way to contact you. Provide facts you know and identify information learned from others. The recipient will help record a verbal report and give the reporting person an opportunity to correct it.</w:t>
      </w:r>
    </w:p>
    <w:p>
      <w:r>
        <w:t>Witnesses may report. Anonymous reports are accepted and assessed as far as the available information permits; anonymity may limit follow up and fact finding. There is no internal reporting cut off under this policy. Preserve original messages and notes without accessing records you are not authorized to see. Use a private reporting method; do not place detailed allegations in a shared client file or public group chat.</w:t>
      </w:r>
    </w:p>
    <w:p>
      <w:pPr>
        <w:pStyle w:val="Heading2"/>
      </w:pPr>
      <w:r>
        <w:t>Initial response and protection</w:t>
      </w:r>
    </w:p>
    <w:p>
      <w:r>
        <w:t>The recipient records the date, checks for a conflict of interest and assesses immediate danger, urgent client needs and evidence at risk. Arrange medical help or a safe handover where needed. Notify only authorized people and arrange an impartial investigator. A supervisor must escalate allegations of harassment, violence, discrimination or retaliation instead of treating them as routine disagreement.</w:t>
      </w:r>
    </w:p>
    <w:p>
      <w:r>
        <w:t>Careland may separate work contact, change supervision, provide a second worker, restrict access or arrange other interim protections. Interim measures do not decide whether an allegation is true. Consult affected employees and avoid shifting the burden onto the reporting person or reducing their earnings as a response to reporting.</w:t>
      </w:r>
    </w:p>
    <w:p>
      <w:pPr>
        <w:pStyle w:val="Heading2"/>
      </w:pPr>
      <w:r>
        <w:t>Internal service targets</w:t>
      </w:r>
    </w:p>
    <w:p>
      <w:pPr>
        <w:pStyle w:val="ListBullet"/>
      </w:pPr>
      <w:r>
        <w:t>Assess immediate safety when the concern is received; acknowledge receipt within two business days.</w:t>
      </w:r>
    </w:p>
    <w:p>
      <w:pPr>
        <w:pStyle w:val="ListBullet"/>
      </w:pPr>
      <w:r>
        <w:t>Identify the investigator and explain next steps within five business days. Give an update at least every ten business days while the matter remains open.</w:t>
      </w:r>
    </w:p>
    <w:p>
      <w:pPr>
        <w:pStyle w:val="ListBullet"/>
      </w:pPr>
      <w:r>
        <w:t>Aim to complete fact finding and issue an outcome within thirty calendar days. If more time is needed, explain the reason, revised date and continuing protections.</w:t>
      </w:r>
    </w:p>
    <w:p>
      <w:r>
        <w:t>These are Careland service targets. They do not extend an external filing deadline or justify delaying urgent protection or a required investigation.</w:t>
      </w:r>
    </w:p>
    <w:p>
      <w:pPr>
        <w:pStyle w:val="Heading2"/>
      </w:pPr>
      <w:r>
        <w:t>Investigation resolution and review</w:t>
      </w:r>
    </w:p>
    <w:p>
      <w:pPr>
        <w:pStyle w:val="Heading2"/>
      </w:pPr>
      <w:r>
        <w:t>Fair investigation</w:t>
      </w:r>
    </w:p>
    <w:p>
      <w:r>
        <w:t>Careland investigates every incident of workplace violence or harassment that comes to its attention. The investigator must be competent, impartial and free of involvement in the events. Use an independent external investigator for an owner related complaint or where an internal investigator cannot act fairly. The person complained about must not select evidence, control access to the investigator or make the decision on their own case.</w:t>
      </w:r>
    </w:p>
    <w:p>
      <w:r>
        <w:t>The investigator defines the allegations and scope, interviews the parties and relevant witnesses separately, preserves records and gives each party a meaningful opportunity to respond to the allegations and relevant information. A support person, interpreter or accessible communication may be arranged, provided they do not interfere or create a conflict. Do not require a joint meeting, confrontation or mediation. Voluntary informal resolution must not replace a required violence or harassment investigation.</w:t>
      </w:r>
    </w:p>
    <w:p>
      <w:r>
        <w:t>Assess each allegation on whether it is more likely than not to have occurred, using the available evidence and reasons for credibility findings. A finding that evidence is insufficient does not mean the complaint was dishonest. Record established facts, disputed facts, findings, reasons and recommended prevention measures in a written report.</w:t>
      </w:r>
    </w:p>
    <w:p>
      <w:pPr>
        <w:pStyle w:val="Heading2"/>
      </w:pPr>
      <w:r>
        <w:t>Outcome and corrective action</w:t>
      </w:r>
    </w:p>
    <w:p>
      <w:r>
        <w:t>A decision maker without a conflict reviews the report and assigns action, an owner and a completion date. Depending on the findings, action may include coaching, training, restored opportunities, accommodation, closer supervision, revised care arrangements, discipline up to and including dismissal, or ending a contractor or client arrangement with a safe transition. Obtain appropriate employment advice before discipline or termination.</w:t>
      </w:r>
    </w:p>
    <w:p>
      <w:r>
        <w:t>Inform the complainant and respondent separately in writing of the findings relevant to them and the corrective action needed to address the concern, while limiting unrelated personal information. Explain any limits on disclosure. Keep the full investigation report restricted. Check safety, compliance and retaliation within two weeks of the outcome and again at about thirty days.</w:t>
      </w:r>
    </w:p>
    <w:p>
      <w:pPr>
        <w:pStyle w:val="Heading2"/>
      </w:pPr>
      <w:r>
        <w:t>Review and unresolved concerns</w:t>
      </w:r>
    </w:p>
    <w:p>
      <w:r>
        <w:t>A party may request review within ten business days after receiving the outcome, identifying new evidence, an important process concern or a conflict. Use a different reviewer where possible and an independent external reviewer when management is implicated. Aim to communicate the review decision within fifteen business days or explain an extension. Careland may accept a late review where reasonable; review does not restrict external rights or deadlines.</w:t>
      </w:r>
    </w:p>
    <w:p>
      <w:pPr>
        <w:pStyle w:val="Heading2"/>
      </w:pPr>
      <w:r>
        <w:t>No retaliation</w:t>
      </w:r>
    </w:p>
    <w:p>
      <w:r>
        <w:t>Careland prohibits threats, lost shifts, exclusion, intimidation or other adverse treatment for raising a concern honestly, supporting another person, participating in a review or seeking external help. Report retaliation through either reporting contact; it will be examined as a separate concern. A complaint made honestly is protected even if it is not upheld. Deliberately fabricated evidence or knowingly false allegations may lead to action only after a fair assessment.</w:t>
      </w:r>
    </w:p>
    <w:p>
      <w:pPr>
        <w:pStyle w:val="Heading2"/>
      </w:pPr>
      <w:r>
        <w:t>Complaint triage</w:t>
      </w:r>
    </w:p>
    <w:p>
      <w:r>
        <w:t>Identify the issue and all applicable routes. Pay and scheduling concerns may need payroll correction; harassment or violence needs the required investigation; a client allegation also needs safeguarding; a privacy concern needs the privacy officer. Do not let one route delay another urgent duty.</w:t>
      </w:r>
    </w:p>
    <w:p>
      <w:r>
        <w:t>Open a restricted case file using a reference number. Record receipt, immediate risks, the people responsible, conflicts, evidence at risk and any external reporting deadline. Keep identifying details out of a general shift roster.</w:t>
      </w:r>
    </w:p>
    <w:p>
      <w:r>
        <w:t>Contact the reporting person through the safe method they provide. Explain who will see information, the limits of confidentiality, the next contact date and how to report retaliation. Offer reasonable language and accessibility support.</w:t>
      </w:r>
    </w:p>
    <w:p>
      <w:r>
        <w:t>Where the report is anonymous or the reporting person withdraws, assess available evidence and remaining safety or investigation duties. Record limitations and reasons for continuing or closing a particular line of inquiry.</w:t>
      </w:r>
    </w:p>
    <w:p>
      <w:pPr>
        <w:pStyle w:val="Heading2"/>
      </w:pPr>
      <w:r>
        <w:t>Investigation plan and evidence</w:t>
      </w:r>
    </w:p>
    <w:p>
      <w:r>
        <w:t>Define each allegation in neutral terms and identify the policy provisions to be considered. Give the respondent enough relevant information and an opportunity to answer, while protecting unnecessary intimate or third-party information.</w:t>
      </w:r>
    </w:p>
    <w:p>
      <w:r>
        <w:t>Identify witnesses and records in advance, arrange separate interviews and keep dated notes. Ask open questions, distinguish direct observation from hearsay and allow people to correct their recorded account.</w:t>
      </w:r>
    </w:p>
    <w:p>
      <w:r>
        <w:t>Assess consistency, supporting records, opportunity to observe and credible explanations for discrepancies. Do not decide credibility from a person's job title, confidence, disability, language or reaction to distress.</w:t>
      </w:r>
    </w:p>
    <w:p>
      <w:r>
        <w:t>Use the civil balance of probabilities for internal findings and record reasons for each allegation separately. Possible findings include established, not established on available evidence or outside scope with referral; a lack of proof is not itself proof of dishonesty.</w:t>
      </w:r>
    </w:p>
    <w:p>
      <w:r>
        <w:t>Separate fact-finding from the disciplinary decision where feasible. The decision-maker reviews the evidence, applicable employment terms and any required advice before selecting proportionate action.</w:t>
      </w:r>
    </w:p>
    <w:p>
      <w:pPr>
        <w:pStyle w:val="Heading2"/>
      </w:pPr>
      <w:r>
        <w:t>Communicating and checking the outcome</w:t>
      </w:r>
    </w:p>
    <w:p>
      <w:r>
        <w:t>Send each party a separate written outcome stating the findings relevant to them, the corrective measures needed to address the concern, any continuing safety directions and how to request review. Do not automatically distribute the complete confidential report.</w:t>
      </w:r>
    </w:p>
    <w:p>
      <w:r>
        <w:t>Record action owners and due dates. Check within two weeks and again at about thirty days for compliance, unresolved safety needs and retaliation. Reopen or escalate if the action has not worked.</w:t>
      </w:r>
    </w:p>
    <w:p>
      <w:r>
        <w:t>Retain a clear review trail, including new evidence, process concerns, the reviewer and reasons. An internal outcome does not determine a criminal case or remove a party's right to contact an external authority.</w:t>
      </w:r>
    </w:p>
    <w:p>
      <w:bookmarkStart w:id="28" w:name="policy_28"/>
      <w:pPr>
        <w:pStyle w:val="Heading1"/>
        <w:pageBreakBefore/>
      </w:pPr>
      <w:r>
        <w:t>28 Violence and harassment prevention</w:t>
      </w:r>
      <w:bookmarkEnd w:id="28"/>
    </w:p>
    <w:p>
      <w:pPr>
        <w:pStyle w:val="Small"/>
      </w:pPr>
      <w:r>
        <w:t>Responsible person  Designated manager and independent alternate where required</w:t>
      </w:r>
    </w:p>
    <w:p>
      <w:pPr>
        <w:pStyle w:val="Heading2"/>
      </w:pPr>
      <w:r>
        <w:t>Policy and responsibilities</w:t>
      </w:r>
    </w:p>
    <w:p>
      <w:r>
        <w:t>Careland will assess and eliminate violence and harassment hazards where reasonably practicable and otherwise control them. Threats, assault, stalking, sexual violence and domestic violence affecting work require a safety response. Management assigns controls and resources, supervisors verify them before a shift, and workers follow the plan and report hazards. Consult the health and safety committee or representative, where present, or affected workers when developing, implementing and reviewing the plan.</w:t>
      </w:r>
    </w:p>
    <w:p>
      <w:pPr>
        <w:pStyle w:val="Heading2"/>
      </w:pPr>
      <w:r>
        <w:t>Controls for care visits</w:t>
      </w:r>
    </w:p>
    <w:p>
      <w:pPr>
        <w:pStyle w:val="ListBullet"/>
      </w:pPr>
      <w:r>
        <w:t>Before admission and when needs change, record known aggression, harassment, sexual behaviour, domestic violence threats, unsafe visitors, weapons, communication needs, exit routes and risks from working alone. Use only necessary personal information.</w:t>
      </w:r>
    </w:p>
    <w:p>
      <w:pPr>
        <w:pStyle w:val="ListBullet"/>
      </w:pPr>
      <w:r>
        <w:t>Tell assigned workers the nature and extent of relevant threats and the controls before exposure. Update affected staff promptly when risks change, without disclosing unrelated personal information.</w:t>
      </w:r>
    </w:p>
    <w:p>
      <w:pPr>
        <w:pStyle w:val="ListBullet"/>
      </w:pPr>
      <w:r>
        <w:t>Set a site specific plan: visit staffing, safe positioning and exits, behaviour strategies, boundaries, a working phone, check in times, emergency contacts and a missed check response. Use two workers or change the care arrangement where the assessment requires it.</w:t>
      </w:r>
    </w:p>
    <w:p>
      <w:pPr>
        <w:pStyle w:val="ListBullet"/>
      </w:pPr>
      <w:r>
        <w:t>Do not schedule a worker into an uncontrolled serious hazard. Discuss expectations with clients and relatives. Restrict unsafe visitors or pause service when necessary, with a safe handover or emergency assistance for a dependent client.</w:t>
      </w:r>
    </w:p>
    <w:p>
      <w:pPr>
        <w:pStyle w:val="Heading2"/>
      </w:pPr>
      <w:r>
        <w:t>Response and obtaining help</w:t>
      </w:r>
    </w:p>
    <w:p>
      <w:r>
        <w:t>If threatened, stop the task, create distance and leave the immediate danger. Call 911 for immediate danger or urgent injury; contact the supervisor as soon as safe. Do not physically restrain, confront or pursue an aggressor. Provide a safe handover where feasible and tell responders if a dependent client remains at risk. Management arranges replacement care or emergency help and must not require return until controls are reassessed.</w:t>
      </w:r>
    </w:p>
    <w:p>
      <w:r>
        <w:t>For a missed scheduled check, the designated monitor immediately attempts the worker and site contacts. If safety cannot be verified, use the documented escalation plan and call emergency services when danger is suspected. After an incident, preserve evidence, record the concern and follow the investigation procedure. Management assesses any required OHS, police, safeguarding, insurer or other notification separately.</w:t>
      </w:r>
    </w:p>
    <w:p>
      <w:pPr>
        <w:pStyle w:val="Heading2"/>
      </w:pPr>
      <w:r>
        <w:t>Support training and review</w:t>
      </w:r>
    </w:p>
    <w:p>
      <w:r>
        <w:t>If a worker reports injury or adverse symptoms after violence or harassment, advise them to consult a health professional of their choice. Where physician treatment or treatment following a physician referral occurs during regular work hours in relation to the incident, apply the OHS entitlement to be treated as at work. Do not promise an employee assistance benefit unless Careland has arranged it.</w:t>
      </w:r>
    </w:p>
    <w:p>
      <w:r>
        <w:t>Train staff before independent assignment and when the plan changes in recognizing hazards, controls, obtaining help, reporting, investigation and documentation. Record attendance and understanding. Review this plan annually as Careland policy, and sooner after a relevant incident, changed work or site risks, or a committee or representative request; revise controls and consult workers.</w:t>
      </w:r>
    </w:p>
    <w:p>
      <w:pPr>
        <w:pStyle w:val="Heading2"/>
      </w:pPr>
      <w:r>
        <w:t>Visit safety arrangements</w:t>
      </w:r>
    </w:p>
    <w:p>
      <w:r>
        <w:t>Before an assignment, give workers the relevant risk information, approved boundaries, how to get help and who monitors their check-ins. Use specific controls that can be verified at the actual location.</w:t>
      </w:r>
    </w:p>
    <w:p>
      <w:r>
        <w:t>Where domestic violence could affect work, discuss safe communication, visitors, access, travel and emergency steps privately with the affected worker. Limit disclosure and avoid contacting a suspected aggressor in a way that increases risk.</w:t>
      </w:r>
    </w:p>
    <w:p>
      <w:r>
        <w:t>Set a review date for every interim control after an incident. Confirm that a second worker, revised visit time or access restriction is actually available before approving the next shift.</w:t>
      </w:r>
    </w:p>
    <w:p>
      <w:r>
        <w:t>A worker who reports injury or adverse symptoms is advised to consult a health professional of their choice. Apply applicable work-time treatment entitlements and record only the employment information management needs.</w:t>
      </w:r>
    </w:p>
    <w:p>
      <w:pPr>
        <w:pStyle w:val="Heading2"/>
      </w:pPr>
      <w:r>
        <w:t>Management review and training</w:t>
      </w:r>
    </w:p>
    <w:p>
      <w:r>
        <w:t>Consult affected workers, or the applicable health and safety committee or representative, when developing and reviewing the plan. Record hazards identified, controls chosen, unresolved concerns and the date workers received the revised instructions.</w:t>
      </w:r>
    </w:p>
    <w:p>
      <w:r>
        <w:t>Careland reviews this plan annually, which is its own review interval, and sooner when an incident, changed work, changed site risk or a committee or representative request requires review. The Alberta OHS Code also sets a maximum three-year routine review interval.</w:t>
      </w:r>
    </w:p>
    <w:p>
      <w:r>
        <w:t>Train workers to recognize hazards, obtain assistance, report concerns and document incidents. Use a care-visit scenario to confirm they understand the actual contact and escalation route.</w:t>
      </w:r>
    </w:p>
    <w:p>
      <w:r>
        <w:t>Keep violence and harassment investigation reports for at least two years after the incident and longer where another requirement or legal hold applies. Make them available to an OHS officer when required and restrict routine circulation.</w:t>
      </w:r>
    </w:p>
    <w:p>
      <w:pPr>
        <w:pStyle w:val="Heading1"/>
        <w:pageBreakBefore/>
      </w:pPr>
      <w:r>
        <w:t>Workplace administration and external options</w:t>
      </w:r>
    </w:p>
    <w:p>
      <w:pPr>
        <w:pStyle w:val="Heading2"/>
      </w:pPr>
      <w:r>
        <w:t>Confidentiality and records</w:t>
      </w:r>
    </w:p>
    <w:p>
      <w:r>
        <w:t>Share complaint information only as necessary to investigate, take corrective action, inform involved parties of results and corrective action, warn workers about violence threats, or comply with law. Absolute secrecy cannot be promised. Parties must not intimidate witnesses or spread allegations. This does not prevent obtaining personal support, medical or legal advice, or making a protected report.</w:t>
      </w:r>
    </w:p>
    <w:p>
      <w:r>
        <w:t>Keep complaint and investigation records in a restricted file separate from routine client records. Record who may access them. Retain violence and harassment investigation reports for at least two years after the incident, longer when required by another retention rule, an active matter or a legal hold. Make required reports available to Alberta OHS on request. Preserve records while a complaint, review or external process is pending, then dispose of them securely under the approved retention schedule.</w:t>
      </w:r>
    </w:p>
    <w:p>
      <w:pPr>
        <w:pStyle w:val="Heading2"/>
      </w:pPr>
      <w:r>
        <w:t>External reporting options</w:t>
      </w:r>
    </w:p>
    <w:p>
      <w:r>
        <w:t>Employees may contact the Alberta Human Rights Commission about discrimination, Alberta Occupational Health and Safety about workplace safety and harassment duties, Alberta Employment Standards about pay and statutory employment entitlements, police about possible offences, or their union or legal adviser where applicable. A human rights complaint generally must reach the Commission within one year of the discriminatory act. Internal reporting or review does not stop that deadline. Other routes have their own time limits.</w:t>
      </w:r>
    </w:p>
    <w:p>
      <w:r>
        <w:t>External routes may be used without completing an internal process. Professional regulator, privacy and client safeguarding duties may apply separately. Confirm other applicable deadlines promptly.</w:t>
      </w:r>
    </w:p>
    <w:p>
      <w:pPr>
        <w:pStyle w:val="Heading2"/>
      </w:pPr>
      <w:r>
        <w:t>Implementation and document control</w:t>
      </w:r>
    </w:p>
    <w:p>
      <w:r>
        <w:t>Complete the reporting contacts, independent alternate, approval and effective date; consult affected workers and provide training. Explain client and visitor conduct expectations before visits. Keep these workplace procedures synchronized with sections 9, 16, 18 and 20 of the operations manual.</w:t>
      </w:r>
    </w:p>
    <w:p>
      <w:r>
        <w:t>The standalone workplace policy set and the workplace sections of the manual use the same Version 2.0 procedure text. Management must update both when a later revision is approved.</w:t>
      </w:r>
    </w:p>
    <w:p>
      <w:bookmarkStart w:id="29" w:name="policy_29"/>
      <w:pPr>
        <w:pStyle w:val="Heading1"/>
        <w:pageBreakBefore/>
      </w:pPr>
      <w:r>
        <w:t>29 Service specific operating arrangements</w:t>
      </w:r>
      <w:bookmarkEnd w:id="29"/>
    </w:p>
    <w:p>
      <w:pPr>
        <w:pStyle w:val="Small"/>
      </w:pPr>
      <w:r>
        <w:t>Responsible person  Operations manager with the appropriate assessor and care team</w:t>
      </w:r>
    </w:p>
    <w:p>
      <w:r>
        <w:t>Apply these arrangements in addition to the core care plan and safety policies. A service name does not authorize a clinical task, guarantee staffing or establish payer eligibility.</w:t>
      </w:r>
    </w:p>
    <w:p>
      <w:pPr>
        <w:pStyle w:val="Heading2"/>
      </w:pPr>
      <w:r>
        <w:t>Children youth and family support</w:t>
      </w:r>
    </w:p>
    <w:p>
      <w:r>
        <w:t>Before accepting a child or youth, confirm the requested support, age, developmental needs, communication, consent arrangements and the legal authority of the adult giving instructions. Check any relevant court or guardianship restrictions through management.</w:t>
      </w:r>
    </w:p>
    <w:p>
      <w:r>
        <w:t>Use workers whose screening, competence and supervision match the child and tasks. Agree personal-care boundaries, privacy, authorized visitors, handover and who may collect the child. Seek the child's participation and assent as appropriate without replacing the consent legally required.</w:t>
      </w:r>
    </w:p>
    <w:p>
      <w:r>
        <w:t>Write the child-specific emergency plan, allergies, eating or swallowing directions, behaviour supports and family contact arrangements. Clinical or complex tasks remain conditional on the required professional authority, training and insurance.</w:t>
      </w:r>
    </w:p>
    <w:p>
      <w:r>
        <w:t>A concern that a child is at risk must be reported under the applicable child-protection duty; informing a supervisor does not replace that duty. Do not wait for a parent's consent or an internal investigation. Call 911 for immediate danger. Alberta's published Child Intervention Provincial Intake Line is 1-800-638-0715, available 24 hours a day; verify the official reporting route when using it.</w:t>
      </w:r>
    </w:p>
    <w:p>
      <w:r>
        <w:t>Listen calmly to a disclosure, avoid probing and record the child's own words and observations privately. Seek protective-authority direction before notifying a person whose involvement could increase danger.</w:t>
      </w:r>
    </w:p>
    <w:p>
      <w:r>
        <w:t>Record the accepted handover and any missed care or incident. Reassess after a change in health, family authority, behaviour, setting or equipment.</w:t>
      </w:r>
    </w:p>
    <w:p>
      <w:pPr>
        <w:pStyle w:val="Heading2"/>
      </w:pPr>
      <w:r>
        <w:t>Palliative and end of life support</w:t>
      </w:r>
    </w:p>
    <w:p>
      <w:r>
        <w:t>Confirm the client's goals, comfort preferences, cultural and spiritual wishes, authorized representative and responsible palliative or primary care team. Record who provides clinical symptom management and how the worker obtains help at any hour.</w:t>
      </w:r>
    </w:p>
    <w:p>
      <w:r>
        <w:t>List approved comfort, personal-care, meal, companionship and respite tasks and the exact support level. Provide relevant training and an assessment of moving, eating and personal-care needs. A non-clinical worker does not independently alter treatment, oxygen, medication or a resuscitation direction.</w:t>
      </w:r>
    </w:p>
    <w:p>
      <w:r>
        <w:t>Keep relevant verified medical directions and the expected-death or emergency response plan available through a secure method. Explain to staff when to call the clinical team, management or emergency services. Do not infer directions from a diagnosis or informal family discussion.</w:t>
      </w:r>
    </w:p>
    <w:p>
      <w:r>
        <w:t>Report new distress or a change in condition promptly to the responsible professional and follow the authorized advice. Record observations and actions without diagnosing or promising symptom control.</w:t>
      </w:r>
    </w:p>
    <w:p>
      <w:r>
        <w:t>When death occurs or is suspected, follow the verified plan and obtain the appropriate professional response. Preserve dignity and privacy, support the family within role and document the accepted handover. Do not independently certify death.</w:t>
      </w:r>
    </w:p>
    <w:p>
      <w:r>
        <w:t>Arrange relief and a practical debrief after difficult care. Reassess worker safety and support needs while protecting client confidentiality.</w:t>
      </w:r>
    </w:p>
    <w:p>
      <w:pPr>
        <w:pStyle w:val="Heading2"/>
      </w:pPr>
      <w:r>
        <w:t>Overnight live in and continuous coverage</w:t>
      </w:r>
    </w:p>
    <w:p>
      <w:r>
        <w:t>Agree in writing whether the service is an awake overnight shift, another assessed overnight arrangement or coordinated continuous coverage. Specify tasks, visit times, monitoring, permitted rest and what happens when needs interrupt the planned arrangement.</w:t>
      </w:r>
    </w:p>
    <w:p>
      <w:r>
        <w:t>Assess nighttime mobility, toileting, falls, cognition, entrances, calls for assistance and emergency access. Identify how help reaches the client between checks and how a worker gets urgent support.</w:t>
      </w:r>
    </w:p>
    <w:p>
      <w:r>
        <w:t>Approve a realistic roster with trained relief and a handover for every change of worker. Do not describe one worker staying in the home as continuous awake care. Check applicable caregiver employment and rest rules before adopting a schedule or pay arrangement.</w:t>
      </w:r>
    </w:p>
    <w:p>
      <w:r>
        <w:t>Provide an appropriate safe work and rest environment for the agreed model and protect the worker's privacy. Report fatigue, escalating nighttime needs or a failed relief arrangement immediately for reassessment.</w:t>
      </w:r>
    </w:p>
    <w:p>
      <w:r>
        <w:t>Record actual work, interruptions and handovers. Management reviews whether the purchased arrangement still meets the client's needs safely; add authorized coverage or seek a different care arrangement when it does not.</w:t>
      </w:r>
    </w:p>
    <w:p>
      <w:pPr>
        <w:pStyle w:val="Heading2"/>
      </w:pPr>
      <w:r>
        <w:t>Hospital and other care settings</w:t>
      </w:r>
    </w:p>
    <w:p>
      <w:r>
        <w:t>Obtain site permission and identify who is responsible for each task. Follow site access, infection and emergency procedures and contact the site clinical team for treatment questions. Private companion support in a hospital must be agreed separately from any payer-funded home-care claim. CDHCI does not cover services provided to a client in an acute-care facility. Verify the setting and payer rules before billing.</w:t>
      </w:r>
    </w:p>
    <w:p>
      <w:pPr>
        <w:pStyle w:val="Heading2"/>
      </w:pPr>
      <w:r>
        <w:t>Records and review</w:t>
      </w:r>
    </w:p>
    <w:p>
      <w:r>
        <w:t>Attach the relevant instructions to Forms C Q and I. Use Forms D F P and U for the visit, incident, handover and lone-worker arrangements. The manager verifies service-specific competence and controls before assignment and whenever needs change.</w:t>
      </w:r>
    </w:p>
    <w:p>
      <w:bookmarkStart w:id="30" w:name="policy_30"/>
      <w:pPr>
        <w:pStyle w:val="Heading1"/>
        <w:pageBreakBefore/>
      </w:pPr>
      <w:r>
        <w:t>30 CDHCI registration and verification</w:t>
      </w:r>
      <w:bookmarkEnd w:id="30"/>
    </w:p>
    <w:p>
      <w:pPr>
        <w:pStyle w:val="Small"/>
      </w:pPr>
      <w:r>
        <w:t>Responsible person  Owner billing lead and insurance broker</w:t>
      </w:r>
    </w:p>
    <w:p>
      <w:r>
        <w:t>Activate this procedure only for Client Directed Home Care Invoicing work after Careland registration is confirmed. Record the current provider agreement, client authorization and program-guide version. The published guide is a verification aid; the actual agreement and current instructions govern participation.</w:t>
      </w:r>
    </w:p>
    <w:p>
      <w:pPr>
        <w:pStyle w:val="Heading2"/>
      </w:pPr>
      <w:r>
        <w:t>Before the first funded visit</w:t>
      </w:r>
    </w:p>
    <w:p>
      <w:r>
        <w:t>Confirm provider registration, the client's eligibility, written authorized tasks and hours, and the service setting. Obtain a separate agreement for private services and do not claim the same time twice.</w:t>
      </w:r>
    </w:p>
    <w:p>
      <w:r>
        <w:t>Verify the required clear criminal record check including vulnerable sector search and the program's check-date conditions. Confirm each assigned representative is retained by Careland and is not the client's family member as defined by the program.</w:t>
      </w:r>
    </w:p>
    <w:p>
      <w:r>
        <w:t>Check HCA registration, competence and supervision for the actual work. Document any condition preventing independent assignment and resolve it before scheduling.</w:t>
      </w:r>
    </w:p>
    <w:p>
      <w:r>
        <w:t>Ask the broker to confirm coverage for Careland and all relevant representatives against the written program requirements. Staff-held coverage alone does not establish that Careland has the required insurance.</w:t>
      </w:r>
    </w:p>
    <w:p>
      <w:pPr>
        <w:pStyle w:val="Heading2"/>
      </w:pPr>
      <w:r>
        <w:t>Published insurance checks</w:t>
      </w:r>
    </w:p>
    <w:tbl>
      <w:tblPr>
        <w:tblW w:type="auto" w:w="0"/>
        <w:jc w:val="center"/>
        <w:tblLayout w:type="fixed"/>
        <w:tblLook w:firstColumn="1" w:firstRow="1" w:lastColumn="0" w:lastRow="0" w:noHBand="0" w:noVBand="1" w:val="04A0"/>
      </w:tblPr>
      <w:tblGrid>
        <w:gridCol w:w="2952"/>
        <w:gridCol w:w="7042"/>
      </w:tblGrid>
      <w:tr>
        <w:trPr>
          <w:tblHeader/>
        </w:trPr>
        <w:tc>
          <w:tcPr>
            <w:tcW w:type="dxa" w:w="295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173F5F"/>
          </w:tcPr>
          <w:p>
            <w:pPr>
              <w:pStyle w:val="TableText"/>
            </w:pPr>
            <w:r>
              <w:rPr>
                <w:b/>
                <w:color w:val="FFFFFF"/>
              </w:rPr>
              <w:t>Coverage</w:t>
            </w:r>
          </w:p>
        </w:tc>
        <w:tc>
          <w:tcPr>
            <w:tcW w:type="dxa" w:w="704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173F5F"/>
          </w:tcPr>
          <w:p>
            <w:pPr>
              <w:pStyle w:val="TableText"/>
            </w:pPr>
            <w:r>
              <w:rPr>
                <w:b/>
                <w:color w:val="FFFFFF"/>
              </w:rPr>
              <w:t>Program guide minimum to verify</w:t>
            </w:r>
          </w:p>
        </w:tc>
      </w:tr>
      <w:tr>
        <w:trPr>
          <w:cantSplit/>
          <w:cantSplit/>
        </w:trPr>
        <w:tc>
          <w:tcPr>
            <w:tcW w:type="dxa" w:w="295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Workers compensation</w:t>
            </w:r>
          </w:p>
        </w:tc>
        <w:tc>
          <w:tcPr>
            <w:tcW w:type="dxa" w:w="704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Statutory coverage as required; where permissible employer liability of $1 million per accident and $1 million per employee for disease.</w:t>
            </w:r>
          </w:p>
        </w:tc>
      </w:tr>
      <w:tr>
        <w:trPr>
          <w:cantSplit/>
          <w:cantSplit/>
        </w:trPr>
        <w:tc>
          <w:tcPr>
            <w:tcW w:type="dxa" w:w="295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2F6F8"/>
          </w:tcPr>
          <w:p>
            <w:pPr>
              <w:pStyle w:val="TableText"/>
            </w:pPr>
            <w:r>
              <w:t>Commercial general liability</w:t>
            </w:r>
          </w:p>
        </w:tc>
        <w:tc>
          <w:tcPr>
            <w:tcW w:type="dxa" w:w="704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2F6F8"/>
          </w:tcPr>
          <w:p>
            <w:pPr>
              <w:pStyle w:val="TableText"/>
            </w:pPr>
            <w:r>
              <w:t>$5 million per occurrence for the services under the agreement.</w:t>
            </w:r>
          </w:p>
        </w:tc>
      </w:tr>
      <w:tr>
        <w:trPr>
          <w:cantSplit/>
          <w:cantSplit/>
        </w:trPr>
        <w:tc>
          <w:tcPr>
            <w:tcW w:type="dxa" w:w="295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Automobile liability</w:t>
            </w:r>
          </w:p>
        </w:tc>
        <w:tc>
          <w:tcPr>
            <w:tcW w:type="dxa" w:w="704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$2 million per accident for relevant owned non-owned and hired vehicles used in providing services.</w:t>
            </w:r>
          </w:p>
        </w:tc>
      </w:tr>
      <w:tr>
        <w:trPr>
          <w:cantSplit/>
          <w:cantSplit/>
        </w:trPr>
        <w:tc>
          <w:tcPr>
            <w:tcW w:type="dxa" w:w="295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2F6F8"/>
          </w:tcPr>
          <w:p>
            <w:pPr>
              <w:pStyle w:val="TableText"/>
            </w:pPr>
            <w:r>
              <w:t>Professional liability or errors and omissions</w:t>
            </w:r>
          </w:p>
        </w:tc>
        <w:tc>
          <w:tcPr>
            <w:tcW w:type="dxa" w:w="704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2F6F8"/>
          </w:tcPr>
          <w:p>
            <w:pPr>
              <w:pStyle w:val="TableText"/>
            </w:pPr>
            <w:r>
              <w:t>$5 million per occurrence; any aggregate limit at least $10 million. Confirm coverage for provider representatives.</w:t>
            </w:r>
          </w:p>
        </w:tc>
      </w:tr>
      <w:tr>
        <w:trPr>
          <w:cantSplit/>
          <w:cantSplit/>
        </w:trPr>
        <w:tc>
          <w:tcPr>
            <w:tcW w:type="dxa" w:w="295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Fidelity and third party bond</w:t>
            </w:r>
          </w:p>
        </w:tc>
        <w:tc>
          <w:tcPr>
            <w:tcW w:type="dxa" w:w="704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$200000 per loss. Confirm the appropriate employee dishonesty or contractor coverage.</w:t>
            </w:r>
          </w:p>
        </w:tc>
      </w:tr>
    </w:tbl>
    <w:p>
      <w:pPr>
        <w:pStyle w:val="Small"/>
      </w:pPr>
    </w:p>
    <w:p>
      <w:pPr>
        <w:pStyle w:val="Small"/>
      </w:pPr>
      <w:r>
        <w:t>These are program conditions from the published provider guide, not a declaration that Careland holds the coverage. Confirm endorsements, exclusions, dates and the current agreement with the broker before participation. The client-transport exclusion does not remove the need to assess insurance for vehicles used in delivering services.</w:t>
      </w:r>
    </w:p>
    <w:p>
      <w:pPr>
        <w:pStyle w:val="Heading2"/>
      </w:pPr>
      <w:r>
        <w:t>Claims and continuing verification</w:t>
      </w:r>
    </w:p>
    <w:p>
      <w:r>
        <w:t>Document the actual care date, tasks, time and worker. Reconcile claims to authorization and visit records, provide the required client claim statement and preserve the audit trail. Do not claim unsupported hours, undelivered care or an excluded service setting. Monitor credential and insurance expiry and suspend affected assignments or billing until a lapse is resolved.</w:t>
      </w:r>
    </w:p>
    <w:p>
      <w:pPr>
        <w:pStyle w:val="Small"/>
      </w:pPr>
      <w:r>
        <w:t>Record verification dates agreement and authorization references broker confirmation outstanding conditions and the manager release in Form W. Keep the supporting documents in the appropriate controlled file and assign the next review date.</w:t>
      </w:r>
    </w:p>
    <w:p>
      <w:bookmarkStart w:id="31" w:name="form_A"/>
      <w:pPr>
        <w:pStyle w:val="Heading1"/>
        <w:pageBreakBefore/>
      </w:pPr>
      <w:r>
        <w:t>Form A Client intake and consent</w:t>
      </w:r>
      <w:bookmarkEnd w:id="31"/>
    </w:p>
    <w:p>
      <w:pPr>
        <w:pStyle w:val="Small"/>
      </w:pPr>
      <w:r>
        <w:t>Record necessary assessment details and verified authority. A separate signed service agreement states actual fees and terms.</w:t>
      </w:r>
    </w:p>
    <w:p>
      <w:pPr>
        <w:pStyle w:val="FieldLabel"/>
      </w:pPr>
      <w:r>
        <w:t>Client name identifier and assessment date</w:t>
      </w:r>
    </w:p>
    <w:p>
      <w:pPr>
        <w:pStyle w:val="ResponseLine"/>
        <w:spacing w:line="240" w:lineRule="auto"/>
        <w:pBdr>
          <w:bottom w:val="single" w:sz="3" w:color="B8BEC3"/>
        </w:pBdr>
      </w:pPr>
      <w:r>
        <w:rPr>
          <w:sz w:val="22"/>
        </w:rPr>
        <w:t xml:space="preserve"> </w:t>
      </w:r>
    </w:p>
    <w:p>
      <w:pPr>
        <w:pStyle w:val="FieldLabel"/>
      </w:pPr>
      <w:r>
        <w:t>Safe contact preferred language and communication support</w:t>
      </w:r>
    </w:p>
    <w:p>
      <w:pPr>
        <w:pStyle w:val="ResponseLine"/>
        <w:spacing w:line="240" w:lineRule="auto"/>
        <w:pBdr>
          <w:bottom w:val="single" w:sz="3" w:color="B8BEC3"/>
        </w:pBdr>
      </w:pPr>
      <w:r>
        <w:rPr>
          <w:sz w:val="22"/>
        </w:rPr>
        <w:t xml:space="preserve"> </w:t>
      </w:r>
    </w:p>
    <w:p>
      <w:pPr>
        <w:pStyle w:val="FieldLabel"/>
      </w:pPr>
      <w:r>
        <w:t>Client address and approved service setting</w:t>
      </w:r>
    </w:p>
    <w:p>
      <w:pPr>
        <w:pStyle w:val="ResponseLine"/>
        <w:spacing w:line="240" w:lineRule="auto"/>
        <w:pBdr>
          <w:bottom w:val="single" w:sz="3" w:color="B8BEC3"/>
        </w:pBdr>
      </w:pPr>
      <w:r>
        <w:rPr>
          <w:sz w:val="22"/>
        </w:rPr>
        <w:t xml:space="preserve"> </w:t>
      </w:r>
    </w:p>
    <w:p>
      <w:pPr>
        <w:pStyle w:val="FieldLabel"/>
      </w:pPr>
      <w:r>
        <w:t>Representative name relationship and authority verified</w:t>
      </w:r>
    </w:p>
    <w:p>
      <w:pPr>
        <w:pStyle w:val="ResponseLine"/>
        <w:spacing w:line="240" w:lineRule="auto"/>
        <w:pBdr>
          <w:bottom w:val="single" w:sz="3" w:color="B8BEC3"/>
        </w:pBdr>
      </w:pPr>
      <w:r>
        <w:rPr>
          <w:sz w:val="22"/>
        </w:rPr>
        <w:t xml:space="preserve"> </w:t>
      </w:r>
    </w:p>
    <w:p>
      <w:pPr>
        <w:pStyle w:val="FieldLabel"/>
      </w:pPr>
      <w:r>
        <w:t>Requested services goals and proposed visit schedule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Current supports risks and qualified assessment referrals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Consent for assessment and specific information sharing</w:t>
      </w:r>
    </w:p>
    <w:p>
      <w:pPr>
        <w:pStyle w:val="ResponseLine"/>
        <w:spacing w:line="240" w:lineRule="auto"/>
        <w:pBdr>
          <w:bottom w:val="single" w:sz="3" w:color="B8BEC3"/>
        </w:pBdr>
      </w:pPr>
      <w:r>
        <w:rPr>
          <w:sz w:val="22"/>
        </w:rPr>
        <w:t xml:space="preserve"> </w:t>
      </w:r>
    </w:p>
    <w:p>
      <w:pPr>
        <w:pStyle w:val="FieldLabel"/>
      </w:pPr>
      <w:r>
        <w:t>Scope exclusions fees and complaint information explained</w:t>
      </w:r>
    </w:p>
    <w:p>
      <w:pPr>
        <w:pStyle w:val="ResponseLine"/>
        <w:spacing w:line="240" w:lineRule="auto"/>
        <w:pBdr>
          <w:bottom w:val="single" w:sz="3" w:color="B8BEC3"/>
        </w:pBdr>
      </w:pPr>
      <w:r>
        <w:rPr>
          <w:sz w:val="22"/>
        </w:rPr>
        <w:t xml:space="preserve"> </w:t>
      </w:r>
    </w:p>
    <w:p>
      <w:pPr>
        <w:pStyle w:val="FieldLabel"/>
      </w:pPr>
      <w:r>
        <w:t>Admission decision conditions and responsible coordinator</w:t>
      </w:r>
    </w:p>
    <w:p>
      <w:pPr>
        <w:pStyle w:val="ResponseLine"/>
        <w:spacing w:line="240" w:lineRule="auto"/>
        <w:pBdr>
          <w:bottom w:val="single" w:sz="3" w:color="B8BEC3"/>
        </w:pBdr>
      </w:pPr>
      <w:r>
        <w:rPr>
          <w:sz w:val="22"/>
        </w:rPr>
        <w:t xml:space="preserve"> </w:t>
      </w:r>
    </w:p>
    <w:p>
      <w:pPr>
        <w:pStyle w:val="FieldLabel"/>
      </w:pPr>
      <w:r>
        <w:t>Client or authorized representative signature and date</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32" w:name="form_B"/>
      <w:pPr>
        <w:pStyle w:val="Heading1"/>
        <w:pageBreakBefore/>
      </w:pPr>
      <w:r>
        <w:t>Form B Home safety assessment</w:t>
      </w:r>
      <w:bookmarkEnd w:id="32"/>
    </w:p>
    <w:p>
      <w:pPr>
        <w:pStyle w:val="Small"/>
      </w:pPr>
      <w:r>
        <w:t>Assess before independent work and after material changes. Record controls and who will verify them.</w:t>
      </w:r>
    </w:p>
    <w:p>
      <w:pPr>
        <w:pStyle w:val="FieldLabel"/>
      </w:pPr>
      <w:r>
        <w:t>Client identifier assessor and date</w:t>
      </w:r>
    </w:p>
    <w:p>
      <w:pPr>
        <w:pStyle w:val="ResponseLine"/>
        <w:spacing w:line="240" w:lineRule="auto"/>
        <w:pBdr>
          <w:bottom w:val="single" w:sz="3" w:color="B8BEC3"/>
        </w:pBdr>
      </w:pPr>
      <w:r>
        <w:rPr>
          <w:sz w:val="22"/>
        </w:rPr>
        <w:t xml:space="preserve"> </w:t>
      </w:r>
    </w:p>
    <w:p>
      <w:pPr>
        <w:pStyle w:val="FieldLabel"/>
      </w:pPr>
      <w:r>
        <w:t>Access exits communication and emergency needs</w:t>
      </w:r>
    </w:p>
    <w:p>
      <w:pPr>
        <w:pStyle w:val="ResponseLine"/>
        <w:spacing w:line="240" w:lineRule="auto"/>
        <w:pBdr>
          <w:bottom w:val="single" w:sz="3" w:color="B8BEC3"/>
        </w:pBdr>
      </w:pPr>
      <w:r>
        <w:rPr>
          <w:sz w:val="22"/>
        </w:rPr>
        <w:t xml:space="preserve"> </w:t>
      </w:r>
    </w:p>
    <w:p>
      <w:pPr>
        <w:pStyle w:val="FieldLabel"/>
      </w:pPr>
      <w:r>
        <w:t>Falls transfer and equipment risks</w:t>
      </w:r>
    </w:p>
    <w:p>
      <w:pPr>
        <w:pStyle w:val="ResponseLine"/>
        <w:spacing w:line="240" w:lineRule="auto"/>
        <w:pBdr>
          <w:bottom w:val="single" w:sz="3" w:color="B8BEC3"/>
        </w:pBdr>
      </w:pPr>
      <w:r>
        <w:rPr>
          <w:sz w:val="22"/>
        </w:rPr>
        <w:t xml:space="preserve"> </w:t>
      </w:r>
    </w:p>
    <w:p>
      <w:pPr>
        <w:pStyle w:val="FieldLabel"/>
      </w:pPr>
      <w:r>
        <w:t>Violence harassment visitors domestic violence and animals</w:t>
      </w:r>
    </w:p>
    <w:p>
      <w:pPr>
        <w:pStyle w:val="ResponseLine"/>
        <w:spacing w:line="240" w:lineRule="auto"/>
        <w:pBdr>
          <w:bottom w:val="single" w:sz="3" w:color="B8BEC3"/>
        </w:pBdr>
      </w:pPr>
      <w:r>
        <w:rPr>
          <w:sz w:val="22"/>
        </w:rPr>
        <w:t xml:space="preserve"> </w:t>
      </w:r>
    </w:p>
    <w:p>
      <w:pPr>
        <w:pStyle w:val="FieldLabel"/>
      </w:pPr>
      <w:r>
        <w:t>Smoke infection chemicals food and environmental hazards</w:t>
      </w:r>
    </w:p>
    <w:p>
      <w:pPr>
        <w:pStyle w:val="ResponseLine"/>
        <w:spacing w:line="240" w:lineRule="auto"/>
        <w:pBdr>
          <w:bottom w:val="single" w:sz="3" w:color="B8BEC3"/>
        </w:pBdr>
      </w:pPr>
      <w:r>
        <w:rPr>
          <w:sz w:val="22"/>
        </w:rPr>
        <w:t xml:space="preserve"> </w:t>
      </w:r>
    </w:p>
    <w:p>
      <w:pPr>
        <w:pStyle w:val="FieldLabel"/>
      </w:pPr>
      <w:r>
        <w:t>Controls staffing equipment and visit restrictions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Worker consultation and information communicated</w:t>
      </w:r>
    </w:p>
    <w:p>
      <w:pPr>
        <w:pStyle w:val="ResponseLine"/>
        <w:spacing w:line="240" w:lineRule="auto"/>
        <w:pBdr>
          <w:bottom w:val="single" w:sz="3" w:color="B8BEC3"/>
        </w:pBdr>
      </w:pPr>
      <w:r>
        <w:rPr>
          <w:sz w:val="22"/>
        </w:rPr>
        <w:t xml:space="preserve"> </w:t>
      </w:r>
    </w:p>
    <w:p>
      <w:pPr>
        <w:pStyle w:val="FieldLabel"/>
      </w:pPr>
      <w:r>
        <w:t>Unresolved risks owner due date and reassessment</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Safe to assign decision and manager signature</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33" w:name="form_C"/>
      <w:pPr>
        <w:pStyle w:val="Heading1"/>
        <w:pageBreakBefore/>
      </w:pPr>
      <w:r>
        <w:t>Form C Individual care plan</w:t>
      </w:r>
      <w:bookmarkEnd w:id="33"/>
    </w:p>
    <w:p>
      <w:pPr>
        <w:pStyle w:val="Small"/>
      </w:pPr>
      <w:r>
        <w:t>Only assessed authorized tasks may be assigned. Attach task-specific directions and professional instructions where required.</w:t>
      </w:r>
    </w:p>
    <w:p>
      <w:pPr>
        <w:pStyle w:val="FieldLabel"/>
      </w:pPr>
      <w:r>
        <w:t>Client identifier version and effective date</w:t>
      </w:r>
    </w:p>
    <w:p>
      <w:pPr>
        <w:pStyle w:val="ResponseLine"/>
        <w:spacing w:line="240" w:lineRule="auto"/>
        <w:pBdr>
          <w:bottom w:val="single" w:sz="3" w:color="B8BEC3"/>
        </w:pBdr>
      </w:pPr>
      <w:r>
        <w:rPr>
          <w:sz w:val="22"/>
        </w:rPr>
        <w:t xml:space="preserve"> </w:t>
      </w:r>
    </w:p>
    <w:p>
      <w:pPr>
        <w:pStyle w:val="FieldLabel"/>
      </w:pPr>
      <w:r>
        <w:t>Client goals preferences and communication needs</w:t>
      </w:r>
    </w:p>
    <w:p>
      <w:pPr>
        <w:pStyle w:val="ResponseLine"/>
        <w:spacing w:line="240" w:lineRule="auto"/>
        <w:pBdr>
          <w:bottom w:val="single" w:sz="3" w:color="B8BEC3"/>
        </w:pBdr>
      </w:pPr>
      <w:r>
        <w:rPr>
          <w:sz w:val="22"/>
        </w:rPr>
        <w:t xml:space="preserve"> </w:t>
      </w:r>
    </w:p>
    <w:p>
      <w:pPr>
        <w:pStyle w:val="FieldLabel"/>
      </w:pPr>
      <w:r>
        <w:t>Visit schedule care between visits and backup support</w:t>
      </w:r>
    </w:p>
    <w:p>
      <w:pPr>
        <w:pStyle w:val="ResponseLine"/>
        <w:spacing w:line="240" w:lineRule="auto"/>
        <w:pBdr>
          <w:bottom w:val="single" w:sz="3" w:color="B8BEC3"/>
        </w:pBdr>
      </w:pPr>
      <w:r>
        <w:rPr>
          <w:sz w:val="22"/>
        </w:rPr>
        <w:t xml:space="preserve"> </w:t>
      </w:r>
    </w:p>
    <w:p>
      <w:pPr>
        <w:pStyle w:val="FieldLabel"/>
      </w:pPr>
      <w:r>
        <w:t>Authorized tasks and precise assistance level</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Mobility equipment worker numbers and prohibited tasks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Medication support and professional authorization reference</w:t>
      </w:r>
    </w:p>
    <w:p>
      <w:pPr>
        <w:pStyle w:val="ResponseLine"/>
        <w:spacing w:line="240" w:lineRule="auto"/>
        <w:pBdr>
          <w:bottom w:val="single" w:sz="3" w:color="B8BEC3"/>
        </w:pBdr>
      </w:pPr>
      <w:r>
        <w:rPr>
          <w:sz w:val="22"/>
        </w:rPr>
        <w:t xml:space="preserve"> </w:t>
      </w:r>
    </w:p>
    <w:p>
      <w:pPr>
        <w:pStyle w:val="FieldLabel"/>
      </w:pPr>
      <w:r>
        <w:t>Risks warning signs and escalation instructions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Worker and client review signatures</w:t>
      </w:r>
    </w:p>
    <w:p>
      <w:pPr>
        <w:pStyle w:val="ResponseLine"/>
        <w:spacing w:line="240" w:lineRule="auto"/>
        <w:pBdr>
          <w:bottom w:val="single" w:sz="3" w:color="B8BEC3"/>
        </w:pBdr>
      </w:pPr>
      <w:r>
        <w:rPr>
          <w:sz w:val="22"/>
        </w:rPr>
        <w:t xml:space="preserve"> </w:t>
      </w:r>
    </w:p>
    <w:p>
      <w:pPr>
        <w:pStyle w:val="FieldLabel"/>
      </w:pPr>
      <w:r>
        <w:t>Review date and earlier review triggers</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34" w:name="form_D"/>
      <w:pPr>
        <w:pStyle w:val="Heading1"/>
        <w:pageBreakBefore/>
      </w:pPr>
      <w:r>
        <w:t>Form D Daily visit record</w:t>
      </w:r>
      <w:bookmarkEnd w:id="34"/>
    </w:p>
    <w:p>
      <w:pPr>
        <w:pStyle w:val="Small"/>
      </w:pPr>
      <w:r>
        <w:t>Record actual care promptly. Explain late entries and corrections; do not overwrite an original record.</w:t>
      </w:r>
    </w:p>
    <w:p>
      <w:pPr>
        <w:pStyle w:val="FieldLabel"/>
      </w:pPr>
      <w:r>
        <w:t>Client identifier worker and visit date</w:t>
      </w:r>
    </w:p>
    <w:p>
      <w:pPr>
        <w:pStyle w:val="ResponseLine"/>
        <w:spacing w:line="240" w:lineRule="auto"/>
        <w:pBdr>
          <w:bottom w:val="single" w:sz="3" w:color="B8BEC3"/>
        </w:pBdr>
      </w:pPr>
      <w:r>
        <w:rPr>
          <w:sz w:val="22"/>
        </w:rPr>
        <w:t xml:space="preserve"> </w:t>
      </w:r>
    </w:p>
    <w:p>
      <w:pPr>
        <w:pStyle w:val="FieldLabel"/>
      </w:pPr>
      <w:r>
        <w:t>Actual arrival departure breaks and handover time</w:t>
      </w:r>
    </w:p>
    <w:p>
      <w:pPr>
        <w:pStyle w:val="ResponseLine"/>
        <w:spacing w:line="240" w:lineRule="auto"/>
        <w:pBdr>
          <w:bottom w:val="single" w:sz="3" w:color="B8BEC3"/>
        </w:pBdr>
      </w:pPr>
      <w:r>
        <w:rPr>
          <w:sz w:val="22"/>
        </w:rPr>
        <w:t xml:space="preserve"> </w:t>
      </w:r>
    </w:p>
    <w:p>
      <w:pPr>
        <w:pStyle w:val="FieldLabel"/>
      </w:pPr>
      <w:r>
        <w:t>Plan version checked consent and tasks completed</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Tasks declined or not completed and reason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Objective observations changes and client response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Advice sought person contacted time and instructions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Client safety at departure and pending handover</w:t>
      </w:r>
    </w:p>
    <w:p>
      <w:pPr>
        <w:pStyle w:val="ResponseLine"/>
        <w:spacing w:line="240" w:lineRule="auto"/>
        <w:pBdr>
          <w:bottom w:val="single" w:sz="3" w:color="B8BEC3"/>
        </w:pBdr>
      </w:pPr>
      <w:r>
        <w:rPr>
          <w:sz w:val="22"/>
        </w:rPr>
        <w:t xml:space="preserve"> </w:t>
      </w:r>
    </w:p>
    <w:p>
      <w:pPr>
        <w:pStyle w:val="FieldLabel"/>
      </w:pPr>
      <w:r>
        <w:t>Worker signature entry time and late entry explanation</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35" w:name="form_E"/>
      <w:pPr>
        <w:pStyle w:val="Heading1"/>
        <w:pageBreakBefore/>
      </w:pPr>
      <w:r>
        <w:t>Form E Medication support record</w:t>
      </w:r>
      <w:bookmarkEnd w:id="35"/>
    </w:p>
    <w:p>
      <w:pPr>
        <w:pStyle w:val="Small"/>
      </w:pPr>
      <w:r>
        <w:t>Use only after client-specific authorization. This form does not authorize administration or replace current medication directions.</w:t>
      </w:r>
    </w:p>
    <w:p>
      <w:pPr>
        <w:pStyle w:val="FieldLabel"/>
      </w:pPr>
      <w:r>
        <w:t>Client identifier allergies and current instruction source</w:t>
      </w:r>
    </w:p>
    <w:p>
      <w:pPr>
        <w:pStyle w:val="ResponseLine"/>
        <w:spacing w:line="240" w:lineRule="auto"/>
        <w:pBdr>
          <w:bottom w:val="single" w:sz="3" w:color="B8BEC3"/>
        </w:pBdr>
      </w:pPr>
      <w:r>
        <w:rPr>
          <w:sz w:val="22"/>
        </w:rPr>
        <w:t xml:space="preserve"> </w:t>
      </w:r>
    </w:p>
    <w:p>
      <w:pPr>
        <w:pStyle w:val="FieldLabel"/>
      </w:pPr>
      <w:r>
        <w:t>Medication directions and authorized level of support attached</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Responsible professional contact and task authorization</w:t>
      </w:r>
    </w:p>
    <w:p>
      <w:pPr>
        <w:pStyle w:val="ResponseLine"/>
        <w:spacing w:line="240" w:lineRule="auto"/>
        <w:pBdr>
          <w:bottom w:val="single" w:sz="3" w:color="B8BEC3"/>
        </w:pBdr>
      </w:pPr>
      <w:r>
        <w:rPr>
          <w:sz w:val="22"/>
        </w:rPr>
        <w:t xml:space="preserve"> </w:t>
      </w:r>
    </w:p>
    <w:p>
      <w:pPr>
        <w:pStyle w:val="FieldLabel"/>
      </w:pPr>
      <w:r>
        <w:t>Medication storage refill and discrepancy arrangements</w:t>
      </w:r>
    </w:p>
    <w:p>
      <w:pPr>
        <w:pStyle w:val="ResponseLine"/>
        <w:spacing w:line="240" w:lineRule="auto"/>
        <w:pBdr>
          <w:bottom w:val="single" w:sz="3" w:color="B8BEC3"/>
        </w:pBdr>
      </w:pPr>
      <w:r>
        <w:rPr>
          <w:sz w:val="22"/>
        </w:rPr>
        <w:t xml:space="preserve"> </w:t>
      </w:r>
    </w:p>
    <w:p>
      <w:pPr>
        <w:pStyle w:val="FieldLabel"/>
      </w:pPr>
      <w:r>
        <w:t>Actual date time medication and support provided</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Refusal omission discrepancy or reaction and escalation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Professional advice received and follow up</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Worker identification signature and manager review</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36" w:name="form_F"/>
      <w:pPr>
        <w:pStyle w:val="Heading1"/>
        <w:pageBreakBefore/>
      </w:pPr>
      <w:r>
        <w:t>Form F Incident and near miss report</w:t>
      </w:r>
      <w:bookmarkEnd w:id="36"/>
    </w:p>
    <w:p>
      <w:pPr>
        <w:pStyle w:val="Small"/>
      </w:pPr>
      <w:r>
        <w:t>Secure immediate safety and initiate required reporting without waiting for this form. Record facts and identify information reported by others.</w:t>
      </w:r>
    </w:p>
    <w:p>
      <w:pPr>
        <w:pStyle w:val="FieldLabel"/>
      </w:pPr>
      <w:r>
        <w:t>Client or worker identifier event date time and location</w:t>
      </w:r>
    </w:p>
    <w:p>
      <w:pPr>
        <w:pStyle w:val="ResponseLine"/>
        <w:spacing w:line="240" w:lineRule="auto"/>
        <w:pBdr>
          <w:bottom w:val="single" w:sz="3" w:color="B8BEC3"/>
        </w:pBdr>
      </w:pPr>
      <w:r>
        <w:rPr>
          <w:sz w:val="22"/>
        </w:rPr>
        <w:t xml:space="preserve"> </w:t>
      </w:r>
    </w:p>
    <w:p>
      <w:pPr>
        <w:pStyle w:val="FieldLabel"/>
      </w:pPr>
      <w:r>
        <w:t>Reported by role and report time</w:t>
      </w:r>
    </w:p>
    <w:p>
      <w:pPr>
        <w:pStyle w:val="ResponseLine"/>
        <w:spacing w:line="240" w:lineRule="auto"/>
        <w:pBdr>
          <w:bottom w:val="single" w:sz="3" w:color="B8BEC3"/>
        </w:pBdr>
      </w:pPr>
      <w:r>
        <w:rPr>
          <w:sz w:val="22"/>
        </w:rPr>
        <w:t xml:space="preserve"> </w:t>
      </w:r>
    </w:p>
    <w:p>
      <w:pPr>
        <w:pStyle w:val="FieldLabel"/>
      </w:pPr>
      <w:r>
        <w:t>Observed events exact words and known impact</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Immediate safety action and emergency response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Witnesses and relevant records preserved</w:t>
      </w:r>
    </w:p>
    <w:p>
      <w:pPr>
        <w:pStyle w:val="ResponseLine"/>
        <w:spacing w:line="240" w:lineRule="auto"/>
        <w:pBdr>
          <w:bottom w:val="single" w:sz="3" w:color="B8BEC3"/>
        </w:pBdr>
      </w:pPr>
      <w:r>
        <w:rPr>
          <w:sz w:val="22"/>
        </w:rPr>
        <w:t xml:space="preserve"> </w:t>
      </w:r>
    </w:p>
    <w:p>
      <w:pPr>
        <w:pStyle w:val="FieldLabel"/>
      </w:pPr>
      <w:r>
        <w:t>Persons notified times and advice received</w:t>
      </w:r>
    </w:p>
    <w:p>
      <w:pPr>
        <w:pStyle w:val="ResponseLine"/>
        <w:spacing w:line="240" w:lineRule="auto"/>
        <w:pBdr>
          <w:bottom w:val="single" w:sz="3" w:color="B8BEC3"/>
        </w:pBdr>
      </w:pPr>
      <w:r>
        <w:rPr>
          <w:sz w:val="22"/>
        </w:rPr>
        <w:t xml:space="preserve"> </w:t>
      </w:r>
    </w:p>
    <w:p>
      <w:pPr>
        <w:pStyle w:val="FieldLabel"/>
      </w:pPr>
      <w:r>
        <w:t>External reporting assessment and submission reference</w:t>
      </w:r>
    </w:p>
    <w:p>
      <w:pPr>
        <w:pStyle w:val="ResponseLine"/>
        <w:spacing w:line="240" w:lineRule="auto"/>
        <w:pBdr>
          <w:bottom w:val="single" w:sz="3" w:color="B8BEC3"/>
        </w:pBdr>
      </w:pPr>
      <w:r>
        <w:rPr>
          <w:sz w:val="22"/>
        </w:rPr>
        <w:t xml:space="preserve"> </w:t>
      </w:r>
    </w:p>
    <w:p>
      <w:pPr>
        <w:pStyle w:val="FieldLabel"/>
      </w:pPr>
      <w:r>
        <w:t>Reviewer findings and contributing factors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Corrective actions owner due date and closure check</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37" w:name="form_G"/>
      <w:pPr>
        <w:pStyle w:val="Heading1"/>
        <w:pageBreakBefore/>
      </w:pPr>
      <w:r>
        <w:t>Form G Client complaint and resolution record</w:t>
      </w:r>
      <w:bookmarkEnd w:id="37"/>
    </w:p>
    <w:p>
      <w:pPr>
        <w:pStyle w:val="Small"/>
      </w:pPr>
      <w:r>
        <w:t>Accept verbal or written concerns without retaliation. Restrict employee investigation details.</w:t>
      </w:r>
    </w:p>
    <w:p>
      <w:pPr>
        <w:pStyle w:val="FieldLabel"/>
      </w:pPr>
      <w:r>
        <w:t>Client identifier reporter and safe contact method</w:t>
      </w:r>
    </w:p>
    <w:p>
      <w:pPr>
        <w:pStyle w:val="ResponseLine"/>
        <w:spacing w:line="240" w:lineRule="auto"/>
        <w:pBdr>
          <w:bottom w:val="single" w:sz="3" w:color="B8BEC3"/>
        </w:pBdr>
      </w:pPr>
      <w:r>
        <w:rPr>
          <w:sz w:val="22"/>
        </w:rPr>
        <w:t xml:space="preserve"> </w:t>
      </w:r>
    </w:p>
    <w:p>
      <w:pPr>
        <w:pStyle w:val="FieldLabel"/>
      </w:pPr>
      <w:r>
        <w:t>Receipt date concern and desired outcome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Immediate risk and safeguarding or other referrals</w:t>
      </w:r>
    </w:p>
    <w:p>
      <w:pPr>
        <w:pStyle w:val="ResponseLine"/>
        <w:spacing w:line="240" w:lineRule="auto"/>
        <w:pBdr>
          <w:bottom w:val="single" w:sz="3" w:color="B8BEC3"/>
        </w:pBdr>
      </w:pPr>
      <w:r>
        <w:rPr>
          <w:sz w:val="22"/>
        </w:rPr>
        <w:t xml:space="preserve"> </w:t>
      </w:r>
    </w:p>
    <w:p>
      <w:pPr>
        <w:pStyle w:val="FieldLabel"/>
      </w:pPr>
      <w:r>
        <w:t>Acknowledgement reviewer and next update date</w:t>
      </w:r>
    </w:p>
    <w:p>
      <w:pPr>
        <w:pStyle w:val="ResponseLine"/>
        <w:spacing w:line="240" w:lineRule="auto"/>
        <w:pBdr>
          <w:bottom w:val="single" w:sz="3" w:color="B8BEC3"/>
        </w:pBdr>
      </w:pPr>
      <w:r>
        <w:rPr>
          <w:sz w:val="22"/>
        </w:rPr>
        <w:t xml:space="preserve"> </w:t>
      </w:r>
    </w:p>
    <w:p>
      <w:pPr>
        <w:pStyle w:val="FieldLabel"/>
      </w:pPr>
      <w:r>
        <w:t>Records reviewed and people heard</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Findings remedy and reasons explained to client</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Review request external options and applicable deadlines</w:t>
      </w:r>
    </w:p>
    <w:p>
      <w:pPr>
        <w:pStyle w:val="ResponseLine"/>
        <w:spacing w:line="240" w:lineRule="auto"/>
        <w:pBdr>
          <w:bottom w:val="single" w:sz="3" w:color="B8BEC3"/>
        </w:pBdr>
      </w:pPr>
      <w:r>
        <w:rPr>
          <w:sz w:val="22"/>
        </w:rPr>
        <w:t xml:space="preserve"> </w:t>
      </w:r>
    </w:p>
    <w:p>
      <w:pPr>
        <w:pStyle w:val="FieldLabel"/>
      </w:pPr>
      <w:r>
        <w:t>Action owner due date and follow up outcome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38" w:name="form_H"/>
      <w:pPr>
        <w:pStyle w:val="Heading1"/>
        <w:pageBreakBefore/>
      </w:pPr>
      <w:r>
        <w:t>Form H Employee onboarding and competency</w:t>
      </w:r>
      <w:bookmarkEnd w:id="38"/>
    </w:p>
    <w:p>
      <w:pPr>
        <w:pStyle w:val="Small"/>
      </w:pPr>
      <w:r>
        <w:t>Record verification rather than an unverified promise. Restrict identity background and medical records appropriately.</w:t>
      </w:r>
    </w:p>
    <w:p>
      <w:pPr>
        <w:pStyle w:val="FieldLabel"/>
      </w:pPr>
      <w:r>
        <w:t>Employee role start date and supervisor</w:t>
      </w:r>
    </w:p>
    <w:p>
      <w:pPr>
        <w:pStyle w:val="ResponseLine"/>
        <w:spacing w:line="240" w:lineRule="auto"/>
        <w:pBdr>
          <w:bottom w:val="single" w:sz="3" w:color="B8BEC3"/>
        </w:pBdr>
      </w:pPr>
      <w:r>
        <w:rPr>
          <w:sz w:val="22"/>
        </w:rPr>
        <w:t xml:space="preserve"> </w:t>
      </w:r>
    </w:p>
    <w:p>
      <w:pPr>
        <w:pStyle w:val="FieldLabel"/>
      </w:pPr>
      <w:r>
        <w:t>Identity eligibility references and screening verified</w:t>
      </w:r>
    </w:p>
    <w:p>
      <w:pPr>
        <w:pStyle w:val="ResponseLine"/>
        <w:spacing w:line="240" w:lineRule="auto"/>
        <w:pBdr>
          <w:bottom w:val="single" w:sz="3" w:color="B8BEC3"/>
        </w:pBdr>
      </w:pPr>
      <w:r>
        <w:rPr>
          <w:sz w:val="22"/>
        </w:rPr>
        <w:t xml:space="preserve"> </w:t>
      </w:r>
    </w:p>
    <w:p>
      <w:pPr>
        <w:pStyle w:val="FieldLabel"/>
      </w:pPr>
      <w:r>
        <w:t>CLHA permit category conditions expiry and check date</w:t>
      </w:r>
    </w:p>
    <w:p>
      <w:pPr>
        <w:pStyle w:val="ResponseLine"/>
        <w:spacing w:line="240" w:lineRule="auto"/>
        <w:pBdr>
          <w:bottom w:val="single" w:sz="3" w:color="B8BEC3"/>
        </w:pBdr>
      </w:pPr>
      <w:r>
        <w:rPr>
          <w:sz w:val="22"/>
        </w:rPr>
        <w:t xml:space="preserve"> </w:t>
      </w:r>
    </w:p>
    <w:p>
      <w:pPr>
        <w:pStyle w:val="FieldLabel"/>
      </w:pPr>
      <w:r>
        <w:t>Required individual coverage verified and expiry</w:t>
      </w:r>
    </w:p>
    <w:p>
      <w:pPr>
        <w:pStyle w:val="ResponseLine"/>
        <w:spacing w:line="240" w:lineRule="auto"/>
        <w:pBdr>
          <w:bottom w:val="single" w:sz="3" w:color="B8BEC3"/>
        </w:pBdr>
      </w:pPr>
      <w:r>
        <w:rPr>
          <w:sz w:val="22"/>
        </w:rPr>
        <w:t xml:space="preserve"> </w:t>
      </w:r>
    </w:p>
    <w:p>
      <w:pPr>
        <w:pStyle w:val="FieldLabel"/>
      </w:pPr>
      <w:r>
        <w:t>Orientation policies and reporting contacts received</w:t>
      </w:r>
    </w:p>
    <w:p>
      <w:pPr>
        <w:pStyle w:val="ResponseLine"/>
        <w:spacing w:line="240" w:lineRule="auto"/>
        <w:pBdr>
          <w:bottom w:val="single" w:sz="3" w:color="B8BEC3"/>
        </w:pBdr>
      </w:pPr>
      <w:r>
        <w:rPr>
          <w:sz w:val="22"/>
        </w:rPr>
        <w:t xml:space="preserve"> </w:t>
      </w:r>
    </w:p>
    <w:p>
      <w:pPr>
        <w:pStyle w:val="FieldLabel"/>
      </w:pPr>
      <w:r>
        <w:t>Task equipment assessor method and demonstrated result</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Required supervision restrictions and reassessment date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Employee and assessor signatures</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39" w:name="form_I"/>
      <w:pPr>
        <w:pStyle w:val="Heading1"/>
        <w:pageBreakBefore/>
      </w:pPr>
      <w:r>
        <w:t>Form I Emergency contacts and escalation plan</w:t>
      </w:r>
      <w:bookmarkEnd w:id="39"/>
    </w:p>
    <w:p>
      <w:pPr>
        <w:pStyle w:val="Small"/>
      </w:pPr>
      <w:r>
        <w:t>Keep a secure current copy available to assigned workers. For immediate danger or a medical emergency call 911.</w:t>
      </w:r>
    </w:p>
    <w:p>
      <w:pPr>
        <w:pStyle w:val="FieldLabel"/>
      </w:pPr>
      <w:r>
        <w:t>Client identifier address unit and access instructions</w:t>
      </w:r>
    </w:p>
    <w:p>
      <w:pPr>
        <w:pStyle w:val="ResponseLine"/>
        <w:spacing w:line="240" w:lineRule="auto"/>
        <w:pBdr>
          <w:bottom w:val="single" w:sz="3" w:color="B8BEC3"/>
        </w:pBdr>
      </w:pPr>
      <w:r>
        <w:rPr>
          <w:sz w:val="22"/>
        </w:rPr>
        <w:t xml:space="preserve"> </w:t>
      </w:r>
    </w:p>
    <w:p>
      <w:pPr>
        <w:pStyle w:val="FieldLabel"/>
      </w:pPr>
      <w:r>
        <w:t>Emergency contact and verified authority</w:t>
      </w:r>
    </w:p>
    <w:p>
      <w:pPr>
        <w:pStyle w:val="ResponseLine"/>
        <w:spacing w:line="240" w:lineRule="auto"/>
        <w:pBdr>
          <w:bottom w:val="single" w:sz="3" w:color="B8BEC3"/>
        </w:pBdr>
      </w:pPr>
      <w:r>
        <w:rPr>
          <w:sz w:val="22"/>
        </w:rPr>
        <w:t xml:space="preserve"> </w:t>
      </w:r>
    </w:p>
    <w:p>
      <w:pPr>
        <w:pStyle w:val="FieldLabel"/>
      </w:pPr>
      <w:r>
        <w:t>On call Careland contact and backup</w:t>
      </w:r>
    </w:p>
    <w:p>
      <w:pPr>
        <w:pStyle w:val="ResponseLine"/>
        <w:spacing w:line="240" w:lineRule="auto"/>
        <w:pBdr>
          <w:bottom w:val="single" w:sz="3" w:color="B8BEC3"/>
        </w:pBdr>
      </w:pPr>
      <w:r>
        <w:rPr>
          <w:sz w:val="22"/>
        </w:rPr>
        <w:t xml:space="preserve"> </w:t>
      </w:r>
    </w:p>
    <w:p>
      <w:pPr>
        <w:pStyle w:val="FieldLabel"/>
      </w:pPr>
      <w:r>
        <w:t>Responsible professional pharmacy and relevant care team</w:t>
      </w:r>
    </w:p>
    <w:p>
      <w:pPr>
        <w:pStyle w:val="ResponseLine"/>
        <w:spacing w:line="240" w:lineRule="auto"/>
        <w:pBdr>
          <w:bottom w:val="single" w:sz="3" w:color="B8BEC3"/>
        </w:pBdr>
      </w:pPr>
      <w:r>
        <w:rPr>
          <w:sz w:val="22"/>
        </w:rPr>
        <w:t xml:space="preserve"> </w:t>
      </w:r>
    </w:p>
    <w:p>
      <w:pPr>
        <w:pStyle w:val="FieldLabel"/>
      </w:pPr>
      <w:r>
        <w:t>Urgent risks equipment and verified medical directions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Evacuation outage missing person and missed visit plan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Handover and emergency access arrangements</w:t>
      </w:r>
    </w:p>
    <w:p>
      <w:pPr>
        <w:pStyle w:val="ResponseLine"/>
        <w:spacing w:line="240" w:lineRule="auto"/>
        <w:pBdr>
          <w:bottom w:val="single" w:sz="3" w:color="B8BEC3"/>
        </w:pBdr>
      </w:pPr>
      <w:r>
        <w:rPr>
          <w:sz w:val="22"/>
        </w:rPr>
        <w:t xml:space="preserve"> </w:t>
      </w:r>
    </w:p>
    <w:p>
      <w:pPr>
        <w:pStyle w:val="FieldLabel"/>
      </w:pPr>
      <w:r>
        <w:t>Plan reviewed with client and worker date and signatures</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40" w:name="form_J"/>
      <w:pPr>
        <w:pStyle w:val="Heading1"/>
        <w:pageBreakBefore/>
      </w:pPr>
      <w:r>
        <w:t>Form J Consent and confidentiality acknowledgement</w:t>
      </w:r>
      <w:bookmarkEnd w:id="40"/>
    </w:p>
    <w:p>
      <w:pPr>
        <w:pStyle w:val="Small"/>
      </w:pPr>
      <w:r>
        <w:t>Use separate specific authorizations where required. An acknowledgement does not waive rights or authorize every task or disclosure.</w:t>
      </w:r>
    </w:p>
    <w:p>
      <w:pPr>
        <w:pStyle w:val="FieldLabel"/>
      </w:pPr>
      <w:r>
        <w:t>Client or employee name and purpose of acknowledgement</w:t>
      </w:r>
    </w:p>
    <w:p>
      <w:pPr>
        <w:pStyle w:val="ResponseLine"/>
        <w:spacing w:line="240" w:lineRule="auto"/>
        <w:pBdr>
          <w:bottom w:val="single" w:sz="3" w:color="B8BEC3"/>
        </w:pBdr>
      </w:pPr>
      <w:r>
        <w:rPr>
          <w:sz w:val="22"/>
        </w:rPr>
        <w:t xml:space="preserve"> </w:t>
      </w:r>
    </w:p>
    <w:p>
      <w:pPr>
        <w:pStyle w:val="FieldLabel"/>
      </w:pPr>
      <w:r>
        <w:t>Information provided version and communication support</w:t>
      </w:r>
    </w:p>
    <w:p>
      <w:pPr>
        <w:pStyle w:val="ResponseLine"/>
        <w:spacing w:line="240" w:lineRule="auto"/>
        <w:pBdr>
          <w:bottom w:val="single" w:sz="3" w:color="B8BEC3"/>
        </w:pBdr>
      </w:pPr>
      <w:r>
        <w:rPr>
          <w:sz w:val="22"/>
        </w:rPr>
        <w:t xml:space="preserve"> </w:t>
      </w:r>
    </w:p>
    <w:p>
      <w:pPr>
        <w:pStyle w:val="FieldLabel"/>
      </w:pPr>
      <w:r>
        <w:t>Specific consent purpose recipient and limitations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Questions choices and withdrawal process discussed</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Authority verified and signature date</w:t>
      </w:r>
    </w:p>
    <w:p>
      <w:pPr>
        <w:pStyle w:val="ResponseLine"/>
        <w:spacing w:line="240" w:lineRule="auto"/>
        <w:pBdr>
          <w:bottom w:val="single" w:sz="3" w:color="B8BEC3"/>
        </w:pBdr>
      </w:pPr>
      <w:r>
        <w:rPr>
          <w:sz w:val="22"/>
        </w:rPr>
        <w:t xml:space="preserve"> </w:t>
      </w:r>
    </w:p>
    <w:p>
      <w:pPr>
        <w:pStyle w:val="FieldLabel"/>
      </w:pPr>
      <w:r>
        <w:t>Careland recipient and record location</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41" w:name="form_K"/>
      <w:pPr>
        <w:pStyle w:val="Heading1"/>
        <w:pageBreakBefore/>
      </w:pPr>
      <w:r>
        <w:t>Form K Shift visit and billing audit</w:t>
      </w:r>
      <w:bookmarkEnd w:id="41"/>
    </w:p>
    <w:p>
      <w:pPr>
        <w:pStyle w:val="Small"/>
      </w:pPr>
      <w:r>
        <w:t>Compare actual visits with the plan and charges. Record corrections with an audit trail.</w:t>
      </w:r>
    </w:p>
    <w:p>
      <w:pPr>
        <w:pStyle w:val="FieldLabel"/>
      </w:pPr>
      <w:r>
        <w:t>Audit period reviewer and records sampled</w:t>
      </w:r>
    </w:p>
    <w:p>
      <w:pPr>
        <w:pStyle w:val="ResponseLine"/>
        <w:spacing w:line="240" w:lineRule="auto"/>
        <w:pBdr>
          <w:bottom w:val="single" w:sz="3" w:color="B8BEC3"/>
        </w:pBdr>
      </w:pPr>
      <w:r>
        <w:rPr>
          <w:sz w:val="22"/>
        </w:rPr>
        <w:t xml:space="preserve"> </w:t>
      </w:r>
    </w:p>
    <w:p>
      <w:pPr>
        <w:pStyle w:val="FieldLabel"/>
      </w:pPr>
      <w:r>
        <w:t>Client visit date worker actual hours and approved task</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Care record and authorization matched</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Invoice or claim reference and duplicate check</w:t>
      </w:r>
    </w:p>
    <w:p>
      <w:pPr>
        <w:pStyle w:val="ResponseLine"/>
        <w:spacing w:line="240" w:lineRule="auto"/>
        <w:pBdr>
          <w:bottom w:val="single" w:sz="3" w:color="B8BEC3"/>
        </w:pBdr>
      </w:pPr>
      <w:r>
        <w:rPr>
          <w:sz w:val="22"/>
        </w:rPr>
        <w:t xml:space="preserve"> </w:t>
      </w:r>
    </w:p>
    <w:p>
      <w:pPr>
        <w:pStyle w:val="FieldLabel"/>
      </w:pPr>
      <w:r>
        <w:t>Pay time breaks travel and exceptions reviewed</w:t>
      </w:r>
    </w:p>
    <w:p>
      <w:pPr>
        <w:pStyle w:val="ResponseLine"/>
        <w:spacing w:line="240" w:lineRule="auto"/>
        <w:pBdr>
          <w:bottom w:val="single" w:sz="3" w:color="B8BEC3"/>
        </w:pBdr>
      </w:pPr>
      <w:r>
        <w:rPr>
          <w:sz w:val="22"/>
        </w:rPr>
        <w:t xml:space="preserve"> </w:t>
      </w:r>
    </w:p>
    <w:p>
      <w:pPr>
        <w:pStyle w:val="FieldLabel"/>
      </w:pPr>
      <w:r>
        <w:t>Discrepancies correction owner and due date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Second review reconciliation and closure</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42" w:name="form_L"/>
      <w:pPr>
        <w:pStyle w:val="Heading1"/>
        <w:pageBreakBefore/>
      </w:pPr>
      <w:r>
        <w:t>Form L Quality review and corrective action</w:t>
      </w:r>
      <w:bookmarkEnd w:id="42"/>
    </w:p>
    <w:p>
      <w:pPr>
        <w:pStyle w:val="Small"/>
      </w:pPr>
      <w:r>
        <w:t>Use de-identified trend information where possible and verify whether actions work.</w:t>
      </w:r>
    </w:p>
    <w:p>
      <w:pPr>
        <w:pStyle w:val="FieldLabel"/>
      </w:pPr>
      <w:r>
        <w:t>Review date lead and records sampled</w:t>
      </w:r>
    </w:p>
    <w:p>
      <w:pPr>
        <w:pStyle w:val="ResponseLine"/>
        <w:spacing w:line="240" w:lineRule="auto"/>
        <w:pBdr>
          <w:bottom w:val="single" w:sz="3" w:color="B8BEC3"/>
        </w:pBdr>
      </w:pPr>
      <w:r>
        <w:rPr>
          <w:sz w:val="22"/>
        </w:rPr>
        <w:t xml:space="preserve"> </w:t>
      </w:r>
    </w:p>
    <w:p>
      <w:pPr>
        <w:pStyle w:val="FieldLabel"/>
      </w:pPr>
      <w:r>
        <w:t>Missed visits plan reviews credentials incidents and complaints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Client feedback and worker consultation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Problem evidence and contributing factors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Action responsible person due date and success measure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Completion evidence effectiveness and further action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Management approval and next review</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43" w:name="form_M"/>
      <w:pPr>
        <w:pStyle w:val="Heading1"/>
        <w:pageBreakBefore/>
      </w:pPr>
      <w:r>
        <w:t>Form M Employee complaint report</w:t>
      </w:r>
      <w:bookmarkEnd w:id="43"/>
    </w:p>
    <w:p>
      <w:pPr>
        <w:pStyle w:val="Small"/>
      </w:pPr>
      <w:r>
        <w:t>Optional form. Verbal and anonymous reports are accepted. Use a confidential route and report urgent danger immediately.</w:t>
      </w:r>
    </w:p>
    <w:p>
      <w:pPr>
        <w:pStyle w:val="FieldLabel"/>
      </w:pPr>
      <w:r>
        <w:t>Name and role optional for anonymous report</w:t>
      </w:r>
    </w:p>
    <w:p>
      <w:pPr>
        <w:pStyle w:val="ResponseLine"/>
        <w:spacing w:line="240" w:lineRule="auto"/>
        <w:pBdr>
          <w:bottom w:val="single" w:sz="3" w:color="B8BEC3"/>
        </w:pBdr>
      </w:pPr>
      <w:r>
        <w:rPr>
          <w:sz w:val="22"/>
        </w:rPr>
        <w:t xml:space="preserve"> </w:t>
      </w:r>
    </w:p>
    <w:p>
      <w:pPr>
        <w:pStyle w:val="FieldLabel"/>
      </w:pPr>
      <w:r>
        <w:t>Safe contact method and safe contact times</w:t>
      </w:r>
    </w:p>
    <w:p>
      <w:pPr>
        <w:pStyle w:val="ResponseLine"/>
        <w:spacing w:line="240" w:lineRule="auto"/>
        <w:pBdr>
          <w:bottom w:val="single" w:sz="3" w:color="B8BEC3"/>
        </w:pBdr>
      </w:pPr>
      <w:r>
        <w:rPr>
          <w:sz w:val="22"/>
        </w:rPr>
        <w:t xml:space="preserve"> </w:t>
      </w:r>
    </w:p>
    <w:p>
      <w:pPr>
        <w:pStyle w:val="FieldLabel"/>
      </w:pPr>
      <w:r>
        <w:t>Recipient and date received</w:t>
      </w:r>
    </w:p>
    <w:p>
      <w:pPr>
        <w:pStyle w:val="ResponseLine"/>
        <w:spacing w:line="240" w:lineRule="auto"/>
        <w:pBdr>
          <w:bottom w:val="single" w:sz="3" w:color="B8BEC3"/>
        </w:pBdr>
      </w:pPr>
      <w:r>
        <w:rPr>
          <w:sz w:val="22"/>
        </w:rPr>
        <w:t xml:space="preserve"> </w:t>
      </w:r>
    </w:p>
    <w:p>
      <w:pPr>
        <w:pStyle w:val="FieldLabel"/>
      </w:pPr>
      <w:r>
        <w:t>People involved incident dates times and locations</w:t>
      </w:r>
    </w:p>
    <w:p>
      <w:pPr>
        <w:pStyle w:val="ResponseLine"/>
        <w:spacing w:line="240" w:lineRule="auto"/>
        <w:pBdr>
          <w:bottom w:val="single" w:sz="3" w:color="B8BEC3"/>
        </w:pBdr>
      </w:pPr>
      <w:r>
        <w:rPr>
          <w:sz w:val="22"/>
        </w:rPr>
        <w:t xml:space="preserve"> </w:t>
      </w:r>
    </w:p>
    <w:p>
      <w:pPr>
        <w:pStyle w:val="FieldLabel"/>
      </w:pPr>
      <w:r>
        <w:t>What happened words actions and impact</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Witnesses and relevant records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Immediate safety needs and action already taken</w:t>
      </w:r>
    </w:p>
    <w:p>
      <w:pPr>
        <w:pStyle w:val="ResponseLine"/>
        <w:spacing w:line="240" w:lineRule="auto"/>
        <w:pBdr>
          <w:bottom w:val="single" w:sz="3" w:color="B8BEC3"/>
        </w:pBdr>
      </w:pPr>
      <w:r>
        <w:rPr>
          <w:sz w:val="22"/>
        </w:rPr>
        <w:t xml:space="preserve"> </w:t>
      </w:r>
    </w:p>
    <w:p>
      <w:pPr>
        <w:pStyle w:val="FieldLabel"/>
      </w:pPr>
      <w:r>
        <w:t>Requested support or outcome</w:t>
      </w:r>
    </w:p>
    <w:p>
      <w:pPr>
        <w:pStyle w:val="ResponseLine"/>
        <w:spacing w:line="240" w:lineRule="auto"/>
        <w:pBdr>
          <w:bottom w:val="single" w:sz="3" w:color="B8BEC3"/>
        </w:pBdr>
      </w:pPr>
      <w:r>
        <w:rPr>
          <w:sz w:val="22"/>
        </w:rPr>
        <w:t xml:space="preserve"> </w:t>
      </w:r>
    </w:p>
    <w:p>
      <w:pPr>
        <w:pStyle w:val="FieldLabel"/>
      </w:pPr>
      <w:r>
        <w:t>Signature optional and date</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44" w:name="form_N"/>
      <w:pPr>
        <w:pStyle w:val="Heading1"/>
        <w:pageBreakBefore/>
      </w:pPr>
      <w:r>
        <w:t>Form N Investigation and resolution record</w:t>
      </w:r>
      <w:bookmarkEnd w:id="44"/>
    </w:p>
    <w:p>
      <w:pPr>
        <w:pStyle w:val="Small"/>
      </w:pPr>
      <w:r>
        <w:t>Restricted case file. Record separate findings for each allegation and retain supporting evidence and reasons.</w:t>
      </w:r>
    </w:p>
    <w:p>
      <w:pPr>
        <w:pStyle w:val="FieldLabel"/>
      </w:pPr>
      <w:r>
        <w:t>Case reference investigator decision maker and conflicts</w:t>
      </w:r>
    </w:p>
    <w:p>
      <w:pPr>
        <w:pStyle w:val="ResponseLine"/>
        <w:spacing w:line="240" w:lineRule="auto"/>
        <w:pBdr>
          <w:bottom w:val="single" w:sz="3" w:color="B8BEC3"/>
        </w:pBdr>
      </w:pPr>
      <w:r>
        <w:rPr>
          <w:sz w:val="22"/>
        </w:rPr>
        <w:t xml:space="preserve"> </w:t>
      </w:r>
    </w:p>
    <w:p>
      <w:pPr>
        <w:pStyle w:val="FieldLabel"/>
      </w:pPr>
      <w:r>
        <w:t>Allegations scope policies and relevant deadlines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Immediate protections and reporting decisions</w:t>
      </w:r>
    </w:p>
    <w:p>
      <w:pPr>
        <w:pStyle w:val="ResponseLine"/>
        <w:spacing w:line="240" w:lineRule="auto"/>
        <w:pBdr>
          <w:bottom w:val="single" w:sz="3" w:color="B8BEC3"/>
        </w:pBdr>
      </w:pPr>
      <w:r>
        <w:rPr>
          <w:sz w:val="22"/>
        </w:rPr>
        <w:t xml:space="preserve"> </w:t>
      </w:r>
    </w:p>
    <w:p>
      <w:pPr>
        <w:pStyle w:val="FieldLabel"/>
      </w:pPr>
      <w:r>
        <w:t>Evidence interviews and each party response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Findings for each allegation and reasons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Corrective action owner due date and outcome notices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Review request independent reviewer and decision</w:t>
      </w:r>
    </w:p>
    <w:p>
      <w:pPr>
        <w:pStyle w:val="ResponseLine"/>
        <w:spacing w:line="240" w:lineRule="auto"/>
        <w:pBdr>
          <w:bottom w:val="single" w:sz="3" w:color="B8BEC3"/>
        </w:pBdr>
      </w:pPr>
      <w:r>
        <w:rPr>
          <w:sz w:val="22"/>
        </w:rPr>
        <w:t xml:space="preserve"> </w:t>
      </w:r>
    </w:p>
    <w:p>
      <w:pPr>
        <w:pStyle w:val="FieldLabel"/>
      </w:pPr>
      <w:r>
        <w:t>Retaliation checks closure retention and legal hold</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45" w:name="form_O"/>
      <w:pPr>
        <w:pStyle w:val="Heading1"/>
        <w:pageBreakBefore/>
      </w:pPr>
      <w:r>
        <w:t>Form O Training and employee acknowledgement</w:t>
      </w:r>
      <w:bookmarkEnd w:id="45"/>
    </w:p>
    <w:p>
      <w:pPr>
        <w:pStyle w:val="Small"/>
      </w:pPr>
      <w:r>
        <w:t>Receipt does not waive legal rights or remove Careland obligations. Record demonstrated understanding and any further training.</w:t>
      </w:r>
    </w:p>
    <w:p>
      <w:pPr>
        <w:pStyle w:val="FieldLabel"/>
      </w:pPr>
      <w:r>
        <w:t>Employee role policy version and effective date</w:t>
      </w:r>
    </w:p>
    <w:p>
      <w:pPr>
        <w:pStyle w:val="ResponseLine"/>
        <w:spacing w:line="240" w:lineRule="auto"/>
        <w:pBdr>
          <w:bottom w:val="single" w:sz="3" w:color="B8BEC3"/>
        </w:pBdr>
      </w:pPr>
      <w:r>
        <w:rPr>
          <w:sz w:val="22"/>
        </w:rPr>
        <w:t xml:space="preserve"> </w:t>
      </w:r>
    </w:p>
    <w:p>
      <w:pPr>
        <w:pStyle w:val="FieldLabel"/>
      </w:pPr>
      <w:r>
        <w:t>Trainer date accessibility or language support</w:t>
      </w:r>
    </w:p>
    <w:p>
      <w:pPr>
        <w:pStyle w:val="ResponseLine"/>
        <w:spacing w:line="240" w:lineRule="auto"/>
        <w:pBdr>
          <w:bottom w:val="single" w:sz="3" w:color="B8BEC3"/>
        </w:pBdr>
      </w:pPr>
      <w:r>
        <w:rPr>
          <w:sz w:val="22"/>
        </w:rPr>
        <w:t xml:space="preserve"> </w:t>
      </w:r>
    </w:p>
    <w:p>
      <w:pPr>
        <w:pStyle w:val="FieldLabel"/>
      </w:pPr>
      <w:r>
        <w:t>Training on harassment discrimination accommodation and violence</w:t>
      </w:r>
    </w:p>
    <w:p>
      <w:pPr>
        <w:pStyle w:val="ResponseLine"/>
        <w:spacing w:line="240" w:lineRule="auto"/>
        <w:pBdr>
          <w:bottom w:val="single" w:sz="3" w:color="B8BEC3"/>
        </w:pBdr>
      </w:pPr>
      <w:r>
        <w:rPr>
          <w:sz w:val="22"/>
        </w:rPr>
        <w:t xml:space="preserve"> </w:t>
      </w:r>
    </w:p>
    <w:p>
      <w:pPr>
        <w:pStyle w:val="FieldLabel"/>
      </w:pPr>
      <w:r>
        <w:t>Reporting contacts independent alternate and urgent help explained</w:t>
      </w:r>
    </w:p>
    <w:p>
      <w:pPr>
        <w:pStyle w:val="ResponseLine"/>
        <w:spacing w:line="240" w:lineRule="auto"/>
        <w:pBdr>
          <w:bottom w:val="single" w:sz="3" w:color="B8BEC3"/>
        </w:pBdr>
      </w:pPr>
      <w:r>
        <w:rPr>
          <w:sz w:val="22"/>
        </w:rPr>
        <w:t xml:space="preserve"> </w:t>
      </w:r>
    </w:p>
    <w:p>
      <w:pPr>
        <w:pStyle w:val="FieldLabel"/>
      </w:pPr>
      <w:r>
        <w:t>Investigation confidentiality documentation and retaliation explained</w:t>
      </w:r>
    </w:p>
    <w:p>
      <w:pPr>
        <w:pStyle w:val="ResponseLine"/>
        <w:spacing w:line="240" w:lineRule="auto"/>
        <w:pBdr>
          <w:bottom w:val="single" w:sz="3" w:color="B8BEC3"/>
        </w:pBdr>
      </w:pPr>
      <w:r>
        <w:rPr>
          <w:sz w:val="22"/>
        </w:rPr>
        <w:t xml:space="preserve"> </w:t>
      </w:r>
    </w:p>
    <w:p>
      <w:pPr>
        <w:pStyle w:val="FieldLabel"/>
      </w:pPr>
      <w:r>
        <w:t>Scenario understanding task restrictions and further training</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Questions and follow up owner and date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Employee and trainer signatures and date</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46" w:name="form_P"/>
      <w:pPr>
        <w:pStyle w:val="Heading1"/>
        <w:pageBreakBefore/>
      </w:pPr>
      <w:r>
        <w:t>Form P Handover service pause and discharge</w:t>
      </w:r>
      <w:bookmarkEnd w:id="46"/>
    </w:p>
    <w:p>
      <w:pPr>
        <w:pStyle w:val="Small"/>
      </w:pPr>
      <w:r>
        <w:t>Record who accepted responsibility for pending care. Do not record an unconfirmed handover as accepted.</w:t>
      </w:r>
    </w:p>
    <w:p>
      <w:pPr>
        <w:pStyle w:val="FieldLabel"/>
      </w:pPr>
      <w:r>
        <w:t>Client identifier reason and proposed last visit or pause</w:t>
      </w:r>
    </w:p>
    <w:p>
      <w:pPr>
        <w:pStyle w:val="ResponseLine"/>
        <w:spacing w:line="240" w:lineRule="auto"/>
        <w:pBdr>
          <w:bottom w:val="single" w:sz="3" w:color="B8BEC3"/>
        </w:pBdr>
      </w:pPr>
      <w:r>
        <w:rPr>
          <w:sz w:val="22"/>
        </w:rPr>
        <w:t xml:space="preserve"> </w:t>
      </w:r>
    </w:p>
    <w:p>
      <w:pPr>
        <w:pStyle w:val="FieldLabel"/>
      </w:pPr>
      <w:r>
        <w:t>Client dependence urgent tasks and risks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Notice discussion consent and agreed alternatives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Receiving person provider role contact and acceptance time</w:t>
      </w:r>
    </w:p>
    <w:p>
      <w:pPr>
        <w:pStyle w:val="ResponseLine"/>
        <w:spacing w:line="240" w:lineRule="auto"/>
        <w:pBdr>
          <w:bottom w:val="single" w:sz="3" w:color="B8BEC3"/>
        </w:pBdr>
      </w:pPr>
      <w:r>
        <w:rPr>
          <w:sz w:val="22"/>
        </w:rPr>
        <w:t xml:space="preserve"> </w:t>
      </w:r>
    </w:p>
    <w:p>
      <w:pPr>
        <w:pStyle w:val="FieldLabel"/>
      </w:pPr>
      <w:r>
        <w:t>Information shared authority and pending actions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Emergency help or escalation if handover unavailable</w:t>
      </w:r>
    </w:p>
    <w:p>
      <w:pPr>
        <w:pStyle w:val="ResponseLine"/>
        <w:spacing w:line="240" w:lineRule="auto"/>
        <w:pBdr>
          <w:bottom w:val="single" w:sz="3" w:color="B8BEC3"/>
        </w:pBdr>
      </w:pPr>
      <w:r>
        <w:rPr>
          <w:sz w:val="22"/>
        </w:rPr>
        <w:t xml:space="preserve"> </w:t>
      </w:r>
    </w:p>
    <w:p>
      <w:pPr>
        <w:pStyle w:val="FieldLabel"/>
      </w:pPr>
      <w:r>
        <w:t>Keys property access billing and record closure</w:t>
      </w:r>
    </w:p>
    <w:p>
      <w:pPr>
        <w:pStyle w:val="ResponseLine"/>
        <w:spacing w:line="240" w:lineRule="auto"/>
        <w:pBdr>
          <w:bottom w:val="single" w:sz="3" w:color="B8BEC3"/>
        </w:pBdr>
      </w:pPr>
      <w:r>
        <w:rPr>
          <w:sz w:val="22"/>
        </w:rPr>
        <w:t xml:space="preserve"> </w:t>
      </w:r>
    </w:p>
    <w:p>
      <w:pPr>
        <w:pStyle w:val="FieldLabel"/>
      </w:pPr>
      <w:r>
        <w:t>Responsible manager signature and review date</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47" w:name="form_Q"/>
      <w:pPr>
        <w:pStyle w:val="Heading1"/>
        <w:pageBreakBefore/>
      </w:pPr>
      <w:r>
        <w:t>Form Q Task authorization and review</w:t>
      </w:r>
      <w:bookmarkEnd w:id="47"/>
    </w:p>
    <w:p>
      <w:pPr>
        <w:pStyle w:val="Small"/>
      </w:pPr>
      <w:r>
        <w:t>Complete before a conditional or higher-risk task. A service label or this form alone does not establish clinical authority.</w:t>
      </w:r>
    </w:p>
    <w:p>
      <w:pPr>
        <w:pStyle w:val="FieldLabel"/>
      </w:pPr>
      <w:r>
        <w:t>Client identifier exact task and proposed worker</w:t>
      </w:r>
    </w:p>
    <w:p>
      <w:pPr>
        <w:pStyle w:val="ResponseLine"/>
        <w:spacing w:line="240" w:lineRule="auto"/>
        <w:pBdr>
          <w:bottom w:val="single" w:sz="3" w:color="B8BEC3"/>
        </w:pBdr>
      </w:pPr>
      <w:r>
        <w:rPr>
          <w:sz w:val="22"/>
        </w:rPr>
        <w:t xml:space="preserve"> </w:t>
      </w:r>
    </w:p>
    <w:p>
      <w:pPr>
        <w:pStyle w:val="FieldLabel"/>
      </w:pPr>
      <w:r>
        <w:t>Assessment current directions and responsible professional</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Lawful authority required delegation or supervision</w:t>
      </w:r>
    </w:p>
    <w:p>
      <w:pPr>
        <w:pStyle w:val="ResponseLine"/>
        <w:spacing w:line="240" w:lineRule="auto"/>
        <w:pBdr>
          <w:bottom w:val="single" w:sz="3" w:color="B8BEC3"/>
        </w:pBdr>
      </w:pPr>
      <w:r>
        <w:rPr>
          <w:sz w:val="22"/>
        </w:rPr>
        <w:t xml:space="preserve"> </w:t>
      </w:r>
    </w:p>
    <w:p>
      <w:pPr>
        <w:pStyle w:val="FieldLabel"/>
      </w:pPr>
      <w:r>
        <w:t>Worker competence registration conditions and training verified</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Equipment staffing client consent and insurer confirmation</w:t>
      </w:r>
    </w:p>
    <w:p>
      <w:pPr>
        <w:pStyle w:val="ResponseLine"/>
        <w:spacing w:line="240" w:lineRule="auto"/>
        <w:pBdr>
          <w:bottom w:val="single" w:sz="3" w:color="B8BEC3"/>
        </w:pBdr>
      </w:pPr>
      <w:r>
        <w:rPr>
          <w:sz w:val="22"/>
        </w:rPr>
        <w:t xml:space="preserve"> </w:t>
      </w:r>
    </w:p>
    <w:p>
      <w:pPr>
        <w:pStyle w:val="FieldLabel"/>
      </w:pPr>
      <w:r>
        <w:t>Approved conditional or excluded decision and restrictions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Authorizing manager and professional signatures as applicable</w:t>
      </w:r>
    </w:p>
    <w:p>
      <w:pPr>
        <w:pStyle w:val="ResponseLine"/>
        <w:spacing w:line="240" w:lineRule="auto"/>
        <w:pBdr>
          <w:bottom w:val="single" w:sz="3" w:color="B8BEC3"/>
        </w:pBdr>
      </w:pPr>
      <w:r>
        <w:rPr>
          <w:sz w:val="22"/>
        </w:rPr>
        <w:t xml:space="preserve"> </w:t>
      </w:r>
    </w:p>
    <w:p>
      <w:pPr>
        <w:pStyle w:val="FieldLabel"/>
      </w:pPr>
      <w:r>
        <w:t>Review date and change triggers</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48" w:name="form_R"/>
      <w:pPr>
        <w:pStyle w:val="Heading1"/>
        <w:pageBreakBefore/>
      </w:pPr>
      <w:r>
        <w:t>Form R Medication discrepancy and follow up</w:t>
      </w:r>
      <w:bookmarkEnd w:id="48"/>
    </w:p>
    <w:p>
      <w:pPr>
        <w:pStyle w:val="Small"/>
      </w:pPr>
      <w:r>
        <w:t>Do not independently change a dose or give an extra dose. Obtain appropriate clinical or emergency advice.</w:t>
      </w:r>
    </w:p>
    <w:p>
      <w:pPr>
        <w:pStyle w:val="FieldLabel"/>
      </w:pPr>
      <w:r>
        <w:t>Client identifier current directions and event time</w:t>
      </w:r>
    </w:p>
    <w:p>
      <w:pPr>
        <w:pStyle w:val="ResponseLine"/>
        <w:spacing w:line="240" w:lineRule="auto"/>
        <w:pBdr>
          <w:bottom w:val="single" w:sz="3" w:color="B8BEC3"/>
        </w:pBdr>
      </w:pPr>
      <w:r>
        <w:rPr>
          <w:sz w:val="22"/>
        </w:rPr>
        <w:t xml:space="preserve"> </w:t>
      </w:r>
    </w:p>
    <w:p>
      <w:pPr>
        <w:pStyle w:val="FieldLabel"/>
      </w:pPr>
      <w:r>
        <w:t>Medication and exact discrepancy refusal or reaction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Observed condition and immediate safety action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Professional contacted time and advice received</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Manager and client representative notifications</w:t>
      </w:r>
    </w:p>
    <w:p>
      <w:pPr>
        <w:pStyle w:val="ResponseLine"/>
        <w:spacing w:line="240" w:lineRule="auto"/>
        <w:pBdr>
          <w:bottom w:val="single" w:sz="3" w:color="B8BEC3"/>
        </w:pBdr>
      </w:pPr>
      <w:r>
        <w:rPr>
          <w:sz w:val="22"/>
        </w:rPr>
        <w:t xml:space="preserve"> </w:t>
      </w:r>
    </w:p>
    <w:p>
      <w:pPr>
        <w:pStyle w:val="FieldLabel"/>
      </w:pPr>
      <w:r>
        <w:t>Medication record correction and incident reference</w:t>
      </w:r>
    </w:p>
    <w:p>
      <w:pPr>
        <w:pStyle w:val="ResponseLine"/>
        <w:spacing w:line="240" w:lineRule="auto"/>
        <w:pBdr>
          <w:bottom w:val="single" w:sz="3" w:color="B8BEC3"/>
        </w:pBdr>
      </w:pPr>
      <w:r>
        <w:rPr>
          <w:sz w:val="22"/>
        </w:rPr>
        <w:t xml:space="preserve"> </w:t>
      </w:r>
    </w:p>
    <w:p>
      <w:pPr>
        <w:pStyle w:val="FieldLabel"/>
      </w:pPr>
      <w:r>
        <w:t>Follow up task owner and verification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Reporter and reviewer signatures and date</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49" w:name="form_S"/>
      <w:pPr>
        <w:pStyle w:val="Heading1"/>
        <w:pageBreakBefore/>
      </w:pPr>
      <w:r>
        <w:t>Form S Privacy breach assessment and response</w:t>
      </w:r>
      <w:bookmarkEnd w:id="49"/>
    </w:p>
    <w:p>
      <w:pPr>
        <w:pStyle w:val="Small"/>
      </w:pPr>
      <w:r>
        <w:t>Contain exposure preserve evidence and notify the privacy officer promptly. Assess each applicable reporting duty.</w:t>
      </w:r>
    </w:p>
    <w:p>
      <w:pPr>
        <w:pStyle w:val="FieldLabel"/>
      </w:pPr>
      <w:r>
        <w:t>Breach reference discovered by date and time</w:t>
      </w:r>
    </w:p>
    <w:p>
      <w:pPr>
        <w:pStyle w:val="ResponseLine"/>
        <w:spacing w:line="240" w:lineRule="auto"/>
        <w:pBdr>
          <w:bottom w:val="single" w:sz="3" w:color="B8BEC3"/>
        </w:pBdr>
      </w:pPr>
      <w:r>
        <w:rPr>
          <w:sz w:val="22"/>
        </w:rPr>
        <w:t xml:space="preserve"> </w:t>
      </w:r>
    </w:p>
    <w:p>
      <w:pPr>
        <w:pStyle w:val="FieldLabel"/>
      </w:pPr>
      <w:r>
        <w:t>Information involved systems people and exposure period</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Containment steps and evidence preserved</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Risk assessment sensitivity likelihood and potential harm</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Applicable law notification decision reasons and deadline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Authority and individual notifications references and dates</w:t>
      </w:r>
    </w:p>
    <w:p>
      <w:pPr>
        <w:pStyle w:val="ResponseLine"/>
        <w:spacing w:line="240" w:lineRule="auto"/>
        <w:pBdr>
          <w:bottom w:val="single" w:sz="3" w:color="B8BEC3"/>
        </w:pBdr>
      </w:pPr>
      <w:r>
        <w:rPr>
          <w:sz w:val="22"/>
        </w:rPr>
        <w:t xml:space="preserve"> </w:t>
      </w:r>
    </w:p>
    <w:p>
      <w:pPr>
        <w:pStyle w:val="FieldLabel"/>
      </w:pPr>
      <w:r>
        <w:t>Corrective action owner due date and effectiveness</w:t>
      </w:r>
    </w:p>
    <w:p>
      <w:pPr>
        <w:pStyle w:val="ResponseLine"/>
        <w:spacing w:line="240" w:lineRule="auto"/>
        <w:pBdr>
          <w:bottom w:val="single" w:sz="3" w:color="B8BEC3"/>
        </w:pBdr>
      </w:pPr>
      <w:r>
        <w:rPr>
          <w:sz w:val="22"/>
        </w:rPr>
        <w:t xml:space="preserve"> </w:t>
      </w:r>
    </w:p>
    <w:p>
      <w:pPr>
        <w:pStyle w:val="FieldLabel"/>
      </w:pPr>
      <w:r>
        <w:t>Privacy officer review closure and retention</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50" w:name="form_T"/>
      <w:pPr>
        <w:pStyle w:val="Heading1"/>
        <w:pageBreakBefore/>
      </w:pPr>
      <w:r>
        <w:t>Form T Accommodation request and review</w:t>
      </w:r>
      <w:bookmarkEnd w:id="50"/>
    </w:p>
    <w:p>
      <w:pPr>
        <w:pStyle w:val="Small"/>
      </w:pPr>
      <w:r>
        <w:t>Optional form. A request may be verbal. Collect functional needs and only information reasonably necessary for assessment.</w:t>
      </w:r>
    </w:p>
    <w:p>
      <w:pPr>
        <w:pStyle w:val="FieldLabel"/>
      </w:pPr>
      <w:r>
        <w:t>Employee or applicant role safe contact and request date</w:t>
      </w:r>
    </w:p>
    <w:p>
      <w:pPr>
        <w:pStyle w:val="ResponseLine"/>
        <w:spacing w:line="240" w:lineRule="auto"/>
        <w:pBdr>
          <w:bottom w:val="single" w:sz="3" w:color="B8BEC3"/>
        </w:pBdr>
      </w:pPr>
      <w:r>
        <w:rPr>
          <w:sz w:val="22"/>
        </w:rPr>
        <w:t xml:space="preserve"> </w:t>
      </w:r>
    </w:p>
    <w:p>
      <w:pPr>
        <w:pStyle w:val="FieldLabel"/>
      </w:pPr>
      <w:r>
        <w:t>Barrier need and essential duties affected</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Functional limitations relevant duration and supporting information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Immediate measures and options discussed</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Agreed arrangement owner start date and trial review</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Reasons for any declined option and alternatives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Review route communication and signatures</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51" w:name="form_U"/>
      <w:pPr>
        <w:pStyle w:val="Heading1"/>
        <w:pageBreakBefore/>
      </w:pPr>
      <w:r>
        <w:t>Form U Lone worker visit safety and check in plan</w:t>
      </w:r>
      <w:bookmarkEnd w:id="51"/>
    </w:p>
    <w:p>
      <w:pPr>
        <w:pStyle w:val="Small"/>
      </w:pPr>
      <w:r>
        <w:t>Assign an available monitor and backup. Escalate suspected danger immediately.</w:t>
      </w:r>
    </w:p>
    <w:p>
      <w:pPr>
        <w:pStyle w:val="FieldLabel"/>
      </w:pPr>
      <w:r>
        <w:t>Worker client identifier location visit start and end</w:t>
      </w:r>
    </w:p>
    <w:p>
      <w:pPr>
        <w:pStyle w:val="ResponseLine"/>
        <w:spacing w:line="240" w:lineRule="auto"/>
        <w:pBdr>
          <w:bottom w:val="single" w:sz="3" w:color="B8BEC3"/>
        </w:pBdr>
      </w:pPr>
      <w:r>
        <w:rPr>
          <w:sz w:val="22"/>
        </w:rPr>
        <w:t xml:space="preserve"> </w:t>
      </w:r>
    </w:p>
    <w:p>
      <w:pPr>
        <w:pStyle w:val="FieldLabel"/>
      </w:pPr>
      <w:r>
        <w:t>Relevant hazards controls and information given to worker</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Check in method times phone coverage and test</w:t>
      </w:r>
    </w:p>
    <w:p>
      <w:pPr>
        <w:pStyle w:val="ResponseLine"/>
        <w:spacing w:line="240" w:lineRule="auto"/>
        <w:pBdr>
          <w:bottom w:val="single" w:sz="3" w:color="B8BEC3"/>
        </w:pBdr>
      </w:pPr>
      <w:r>
        <w:rPr>
          <w:sz w:val="22"/>
        </w:rPr>
        <w:t xml:space="preserve"> </w:t>
      </w:r>
    </w:p>
    <w:p>
      <w:pPr>
        <w:pStyle w:val="FieldLabel"/>
      </w:pPr>
      <w:r>
        <w:t>Named monitor contact and backup</w:t>
      </w:r>
    </w:p>
    <w:p>
      <w:pPr>
        <w:pStyle w:val="ResponseLine"/>
        <w:spacing w:line="240" w:lineRule="auto"/>
        <w:pBdr>
          <w:bottom w:val="single" w:sz="3" w:color="B8BEC3"/>
        </w:pBdr>
      </w:pPr>
      <w:r>
        <w:rPr>
          <w:sz w:val="22"/>
        </w:rPr>
        <w:t xml:space="preserve"> </w:t>
      </w:r>
    </w:p>
    <w:p>
      <w:pPr>
        <w:pStyle w:val="FieldLabel"/>
      </w:pPr>
      <w:r>
        <w:t>Missed check immediate contact sequence and escalation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Emergency access support and dependent client arrangements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Actual checks contact attempts and outcomes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Review changes and worker manager signatures</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52" w:name="form_V"/>
      <w:pPr>
        <w:pStyle w:val="Heading1"/>
        <w:pageBreakBefore/>
      </w:pPr>
      <w:r>
        <w:t>Form V Complaint triage and external reporting register</w:t>
      </w:r>
      <w:bookmarkEnd w:id="52"/>
    </w:p>
    <w:p>
      <w:pPr>
        <w:pStyle w:val="Small"/>
      </w:pPr>
      <w:r>
        <w:t>Do not wait for an internal outcome before a required notification. Verify current duties and record reasons.</w:t>
      </w:r>
    </w:p>
    <w:p>
      <w:pPr>
        <w:pStyle w:val="FieldLabel"/>
      </w:pPr>
      <w:r>
        <w:t>Case reference receipt time and responsible manager</w:t>
      </w:r>
    </w:p>
    <w:p>
      <w:pPr>
        <w:pStyle w:val="ResponseLine"/>
        <w:spacing w:line="240" w:lineRule="auto"/>
        <w:pBdr>
          <w:bottom w:val="single" w:sz="3" w:color="B8BEC3"/>
        </w:pBdr>
      </w:pPr>
      <w:r>
        <w:rPr>
          <w:sz w:val="22"/>
        </w:rPr>
        <w:t xml:space="preserve"> </w:t>
      </w:r>
    </w:p>
    <w:p>
      <w:pPr>
        <w:pStyle w:val="FieldLabel"/>
      </w:pPr>
      <w:r>
        <w:t>Immediate risk protections and competent reviewer</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Applicable routes safeguarding OHS privacy employment regulator or police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Duty to notify assessment current guide and decision reasons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Required recipient deadline submission time and confirmation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Internal updates and evidence preservation</w:t>
      </w:r>
    </w:p>
    <w:p>
      <w:pPr>
        <w:pStyle w:val="ResponseLine"/>
        <w:spacing w:line="240" w:lineRule="auto"/>
        <w:pBdr>
          <w:bottom w:val="single" w:sz="3" w:color="B8BEC3"/>
        </w:pBdr>
      </w:pPr>
      <w:r>
        <w:rPr>
          <w:sz w:val="22"/>
        </w:rPr>
        <w:t xml:space="preserve"> </w:t>
      </w:r>
    </w:p>
    <w:p>
      <w:pPr>
        <w:pStyle w:val="FieldLabel"/>
      </w:pPr>
      <w:r>
        <w:t>Outstanding actions owner due date and verification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53" w:name="form_W"/>
      <w:pPr>
        <w:pStyle w:val="Heading1"/>
        <w:pageBreakBefore/>
      </w:pPr>
      <w:r>
        <w:t>Form W Admission completion checklist</w:t>
      </w:r>
      <w:bookmarkEnd w:id="53"/>
    </w:p>
    <w:p>
      <w:pPr>
        <w:pStyle w:val="Small"/>
      </w:pPr>
      <w:r>
        <w:t>Release an independent visit only after required items and any conditional tasks are resolved.</w:t>
      </w:r>
    </w:p>
    <w:p>
      <w:pPr>
        <w:pStyle w:val="FieldLabel"/>
      </w:pPr>
      <w:r>
        <w:t>Client identifier coordinator proposed start and decision</w:t>
      </w:r>
    </w:p>
    <w:p>
      <w:pPr>
        <w:pStyle w:val="ResponseLine"/>
        <w:spacing w:line="240" w:lineRule="auto"/>
        <w:pBdr>
          <w:bottom w:val="single" w:sz="3" w:color="B8BEC3"/>
        </w:pBdr>
      </w:pPr>
      <w:r>
        <w:rPr>
          <w:sz w:val="22"/>
        </w:rPr>
        <w:t xml:space="preserve"> </w:t>
      </w:r>
    </w:p>
    <w:p>
      <w:pPr>
        <w:pStyle w:val="FieldLabel"/>
      </w:pPr>
      <w:r>
        <w:t>Assessment scope exclusions and task authorization complete</w:t>
      </w:r>
    </w:p>
    <w:p>
      <w:pPr>
        <w:pStyle w:val="ResponseLine"/>
        <w:spacing w:line="240" w:lineRule="auto"/>
        <w:pBdr>
          <w:bottom w:val="single" w:sz="3" w:color="B8BEC3"/>
        </w:pBdr>
      </w:pPr>
      <w:r>
        <w:rPr>
          <w:sz w:val="22"/>
        </w:rPr>
        <w:t xml:space="preserve"> </w:t>
      </w:r>
    </w:p>
    <w:p>
      <w:pPr>
        <w:pStyle w:val="FieldLabel"/>
      </w:pPr>
      <w:r>
        <w:t>Consent representative authority and service agreement verified</w:t>
      </w:r>
    </w:p>
    <w:p>
      <w:pPr>
        <w:pStyle w:val="ResponseLine"/>
        <w:spacing w:line="240" w:lineRule="auto"/>
        <w:pBdr>
          <w:bottom w:val="single" w:sz="3" w:color="B8BEC3"/>
        </w:pBdr>
      </w:pPr>
      <w:r>
        <w:rPr>
          <w:sz w:val="22"/>
        </w:rPr>
        <w:t xml:space="preserve"> </w:t>
      </w:r>
    </w:p>
    <w:p>
      <w:pPr>
        <w:pStyle w:val="FieldLabel"/>
      </w:pPr>
      <w:r>
        <w:t>Current care plan emergency contacts and home hazards reviewed</w:t>
      </w:r>
    </w:p>
    <w:p>
      <w:pPr>
        <w:pStyle w:val="ResponseLine"/>
        <w:spacing w:line="240" w:lineRule="auto"/>
        <w:pBdr>
          <w:bottom w:val="single" w:sz="3" w:color="B8BEC3"/>
        </w:pBdr>
      </w:pPr>
      <w:r>
        <w:rPr>
          <w:sz w:val="22"/>
        </w:rPr>
        <w:t xml:space="preserve"> </w:t>
      </w:r>
    </w:p>
    <w:p>
      <w:pPr>
        <w:pStyle w:val="FieldLabel"/>
      </w:pPr>
      <w:r>
        <w:t>Staff credentials competence supervision and insurance confirmed</w:t>
      </w:r>
    </w:p>
    <w:p>
      <w:pPr>
        <w:pStyle w:val="ResponseLine"/>
        <w:spacing w:line="240" w:lineRule="auto"/>
        <w:pBdr>
          <w:bottom w:val="single" w:sz="3" w:color="B8BEC3"/>
        </w:pBdr>
      </w:pPr>
      <w:r>
        <w:rPr>
          <w:sz w:val="22"/>
        </w:rPr>
        <w:t xml:space="preserve"> </w:t>
      </w:r>
    </w:p>
    <w:p>
      <w:pPr>
        <w:pStyle w:val="FieldLabel"/>
      </w:pPr>
      <w:r>
        <w:t>Payer registration eligibility care hours and billing rules confirmed</w:t>
      </w:r>
    </w:p>
    <w:p>
      <w:pPr>
        <w:pStyle w:val="ResponseLine"/>
        <w:spacing w:line="240" w:lineRule="auto"/>
        <w:pBdr>
          <w:bottom w:val="single" w:sz="3" w:color="B8BEC3"/>
        </w:pBdr>
      </w:pPr>
      <w:r>
        <w:rPr>
          <w:sz w:val="22"/>
        </w:rPr>
        <w:t xml:space="preserve"> </w:t>
      </w:r>
    </w:p>
    <w:p>
      <w:pPr>
        <w:pStyle w:val="FieldLabel"/>
      </w:pPr>
      <w:r>
        <w:t>Client rights privacy complaint routes and fees explained</w:t>
      </w:r>
    </w:p>
    <w:p>
      <w:pPr>
        <w:pStyle w:val="ResponseLine"/>
        <w:spacing w:line="240" w:lineRule="auto"/>
        <w:pBdr>
          <w:bottom w:val="single" w:sz="3" w:color="B8BEC3"/>
        </w:pBdr>
      </w:pPr>
      <w:r>
        <w:rPr>
          <w:sz w:val="22"/>
        </w:rPr>
        <w:t xml:space="preserve"> </w:t>
      </w:r>
    </w:p>
    <w:p>
      <w:pPr>
        <w:pStyle w:val="FieldLabel"/>
      </w:pPr>
      <w:r>
        <w:t>Access supplies equipment staffing and backup ready</w:t>
      </w:r>
    </w:p>
    <w:p>
      <w:pPr>
        <w:pStyle w:val="ResponseLine"/>
        <w:spacing w:line="240" w:lineRule="auto"/>
        <w:pBdr>
          <w:bottom w:val="single" w:sz="3" w:color="B8BEC3"/>
        </w:pBdr>
      </w:pPr>
      <w:r>
        <w:rPr>
          <w:sz w:val="22"/>
        </w:rPr>
        <w:t xml:space="preserve"> </w:t>
      </w:r>
    </w:p>
    <w:p>
      <w:pPr>
        <w:pStyle w:val="FieldLabel"/>
      </w:pPr>
      <w:r>
        <w:t>Conditions outstanding owner due date and task restrictions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Manager release signature and first week follow up date</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pPr>
        <w:pStyle w:val="Heading1"/>
        <w:pageBreakBefore/>
      </w:pPr>
      <w:r>
        <w:t>Reference sources and review basis</w:t>
      </w:r>
    </w:p>
    <w:p>
      <w:r>
        <w:t>Reference check date 29 October 2026. Management checks current law professional requirements and contract conditions when approving services or revising these policies. Internal response and review targets are Careland policy choices.</w:t>
      </w:r>
    </w:p>
    <w:p>
      <w:r>
        <w:t>These sources support particular provisions. They do not certify that Careland has been approved accredited registered with a payer or found compliant. Applicability depends on the service model and actual work performed.</w:t>
      </w:r>
    </w:p>
    <w:p>
      <w:pPr>
        <w:pStyle w:val="Small"/>
      </w:pPr>
      <w:hyperlink r:id="rId12">
        <w:r>
          <w:rPr>
            <w:color w:val="173F5F"/>
            <w:u w:val="single"/>
          </w:rPr>
          <w:t>Alberta continuing care provider categories and oversight</w:t>
        </w:r>
      </w:hyperlink>
    </w:p>
    <w:p>
      <w:pPr>
        <w:pStyle w:val="Small"/>
      </w:pPr>
      <w:r>
        <w:t>https://www.alberta.ca/become-a-continuing-care-provider-or-operator</w:t>
      </w:r>
    </w:p>
    <w:p>
      <w:pPr>
        <w:pStyle w:val="Small"/>
      </w:pPr>
      <w:hyperlink r:id="rId13">
        <w:r>
          <w:rPr>
            <w:color w:val="173F5F"/>
            <w:u w:val="single"/>
          </w:rPr>
          <w:t>Alberta continuing care standards and applicability</w:t>
        </w:r>
      </w:hyperlink>
    </w:p>
    <w:p>
      <w:pPr>
        <w:pStyle w:val="Small"/>
      </w:pPr>
      <w:r>
        <w:t>https://www.alberta.ca/continuing-care-accommodation-and-health-service-standards</w:t>
      </w:r>
    </w:p>
    <w:p>
      <w:pPr>
        <w:pStyle w:val="Small"/>
      </w:pPr>
      <w:hyperlink r:id="rId14">
        <w:r>
          <w:rPr>
            <w:color w:val="173F5F"/>
            <w:u w:val="single"/>
          </w:rPr>
          <w:t>Alberta continuing care mandatory reporting and decision guide</w:t>
        </w:r>
      </w:hyperlink>
    </w:p>
    <w:p>
      <w:pPr>
        <w:pStyle w:val="Small"/>
      </w:pPr>
      <w:r>
        <w:t>https://www.alberta.ca/continuing-care-mandatory-reporting</w:t>
      </w:r>
    </w:p>
    <w:p>
      <w:pPr>
        <w:pStyle w:val="Small"/>
      </w:pPr>
      <w:hyperlink r:id="rId15">
        <w:r>
          <w:rPr>
            <w:color w:val="173F5F"/>
            <w:u w:val="single"/>
          </w:rPr>
          <w:t>Alberta Protection for Persons in Care</w:t>
        </w:r>
      </w:hyperlink>
    </w:p>
    <w:p>
      <w:pPr>
        <w:pStyle w:val="Small"/>
      </w:pPr>
      <w:r>
        <w:t>https://www.alberta.ca/about-protection-for-persons-in-care</w:t>
      </w:r>
    </w:p>
    <w:p>
      <w:pPr>
        <w:pStyle w:val="Small"/>
      </w:pPr>
      <w:hyperlink r:id="rId16">
        <w:r>
          <w:rPr>
            <w:color w:val="173F5F"/>
            <w:u w:val="single"/>
          </w:rPr>
          <w:t>Alberta child abuse reporting and intake route</w:t>
        </w:r>
      </w:hyperlink>
    </w:p>
    <w:p>
      <w:pPr>
        <w:pStyle w:val="Small"/>
      </w:pPr>
      <w:r>
        <w:t>https://www.alberta.ca/report-child-abuse</w:t>
      </w:r>
    </w:p>
    <w:p>
      <w:pPr>
        <w:pStyle w:val="Small"/>
      </w:pPr>
      <w:hyperlink r:id="rId17">
        <w:r>
          <w:rPr>
            <w:color w:val="173F5F"/>
            <w:u w:val="single"/>
          </w:rPr>
          <w:t>Alberta OHS Code Part 27 Violence and Harassment</w:t>
        </w:r>
      </w:hyperlink>
    </w:p>
    <w:p>
      <w:pPr>
        <w:pStyle w:val="Small"/>
      </w:pPr>
      <w:r>
        <w:t>https://search-ohs-laws.alberta.ca/legislation/occupational-health-and-safety-code/part-27-violence-and-harassment/</w:t>
      </w:r>
    </w:p>
    <w:p>
      <w:pPr>
        <w:pStyle w:val="Small"/>
      </w:pPr>
      <w:hyperlink r:id="rId18">
        <w:r>
          <w:rPr>
            <w:color w:val="173F5F"/>
            <w:u w:val="single"/>
          </w:rPr>
          <w:t>Alberta Human Rights Commission harassment at work</w:t>
        </w:r>
      </w:hyperlink>
    </w:p>
    <w:p>
      <w:pPr>
        <w:pStyle w:val="Small"/>
      </w:pPr>
      <w:r>
        <w:t>https://www.albertahumanrights.ab.ca/issues-at-work/harassment-at-work/</w:t>
      </w:r>
    </w:p>
    <w:p>
      <w:pPr>
        <w:pStyle w:val="Small"/>
      </w:pPr>
      <w:hyperlink r:id="rId19">
        <w:r>
          <w:rPr>
            <w:color w:val="173F5F"/>
            <w:u w:val="single"/>
          </w:rPr>
          <w:t>Alberta Human Rights Commission duty to accommodate at work</w:t>
        </w:r>
      </w:hyperlink>
    </w:p>
    <w:p>
      <w:pPr>
        <w:pStyle w:val="Small"/>
      </w:pPr>
      <w:r>
        <w:t>https://www.albertahumanrights.ab.ca/issues-at-work/duty-to-accommodate-at-work/</w:t>
      </w:r>
    </w:p>
    <w:p>
      <w:pPr>
        <w:pStyle w:val="Small"/>
      </w:pPr>
      <w:hyperlink r:id="rId20">
        <w:r>
          <w:rPr>
            <w:color w:val="173F5F"/>
            <w:u w:val="single"/>
          </w:rPr>
          <w:t>Alberta Human Rights Commission complaint deadlines</w:t>
        </w:r>
      </w:hyperlink>
    </w:p>
    <w:p>
      <w:pPr>
        <w:pStyle w:val="Small"/>
      </w:pPr>
      <w:r>
        <w:t>https://www.albertahumanrights.ab.ca/frequently-asked-questions/</w:t>
      </w:r>
    </w:p>
    <w:p>
      <w:pPr>
        <w:pStyle w:val="Small"/>
      </w:pPr>
      <w:hyperlink r:id="rId21">
        <w:r>
          <w:rPr>
            <w:color w:val="173F5F"/>
            <w:u w:val="single"/>
          </w:rPr>
          <w:t>Alberta private sector privacy law PIPA</w:t>
        </w:r>
      </w:hyperlink>
    </w:p>
    <w:p>
      <w:pPr>
        <w:pStyle w:val="Small"/>
      </w:pPr>
      <w:r>
        <w:t>https://www.alberta.ca/personal-information-protection-act</w:t>
      </w:r>
    </w:p>
    <w:p>
      <w:pPr>
        <w:pStyle w:val="Small"/>
      </w:pPr>
      <w:hyperlink r:id="rId22">
        <w:r>
          <w:rPr>
            <w:color w:val="173F5F"/>
            <w:u w:val="single"/>
          </w:rPr>
          <w:t>Alberta OIPC privacy breach notification requirements</w:t>
        </w:r>
      </w:hyperlink>
    </w:p>
    <w:p>
      <w:pPr>
        <w:pStyle w:val="Small"/>
      </w:pPr>
      <w:r>
        <w:t>https://oipc.ab.ca/breach-notification/</w:t>
      </w:r>
    </w:p>
    <w:p>
      <w:pPr>
        <w:pStyle w:val="Small"/>
      </w:pPr>
      <w:hyperlink r:id="rId23">
        <w:r>
          <w:rPr>
            <w:color w:val="173F5F"/>
            <w:u w:val="single"/>
          </w:rPr>
          <w:t>Alberta caregiver employment standards exceptions</w:t>
        </w:r>
      </w:hyperlink>
    </w:p>
    <w:p>
      <w:pPr>
        <w:pStyle w:val="Small"/>
      </w:pPr>
      <w:r>
        <w:t>https://www.alberta.ca/es-exceptions-caregivers</w:t>
      </w:r>
    </w:p>
    <w:p>
      <w:pPr>
        <w:pStyle w:val="Small"/>
      </w:pPr>
      <w:hyperlink r:id="rId24">
        <w:r>
          <w:rPr>
            <w:color w:val="173F5F"/>
            <w:u w:val="single"/>
          </w:rPr>
          <w:t>CLHA HCA regulation and employer checks</w:t>
        </w:r>
      </w:hyperlink>
    </w:p>
    <w:p>
      <w:pPr>
        <w:pStyle w:val="Small"/>
      </w:pPr>
      <w:r>
        <w:t>https://www.clha.com/hca/hcas/hca-faqs/</w:t>
      </w:r>
    </w:p>
    <w:p>
      <w:pPr>
        <w:pStyle w:val="Small"/>
      </w:pPr>
      <w:hyperlink r:id="rId25">
        <w:r>
          <w:rPr>
            <w:color w:val="173F5F"/>
            <w:u w:val="single"/>
          </w:rPr>
          <w:t>Alberta Blue Cross CDHCI provider guide</w:t>
        </w:r>
      </w:hyperlink>
    </w:p>
    <w:p>
      <w:pPr>
        <w:pStyle w:val="Small"/>
      </w:pPr>
      <w:r>
        <w:t>https://www.ab.bluecross.ca/pdfs/CDHCI-provider-program-guide.pdf</w:t>
      </w:r>
    </w:p>
    <w:p>
      <w:pPr>
        <w:pStyle w:val="Heading2"/>
      </w:pPr>
      <w:r>
        <w:t>Revision record</w:t>
      </w:r>
    </w:p>
    <w:tbl>
      <w:tblPr>
        <w:tblW w:type="auto" w:w="0"/>
        <w:jc w:val="center"/>
        <w:tblLayout w:type="fixed"/>
        <w:tblLook w:firstColumn="1" w:firstRow="1" w:lastColumn="0" w:lastRow="0" w:noHBand="0" w:noVBand="1" w:val="04A0"/>
      </w:tblPr>
      <w:tblGrid>
        <w:gridCol w:w="936"/>
        <w:gridCol w:w="1656"/>
        <w:gridCol w:w="7402"/>
      </w:tblGrid>
      <w:tr>
        <w:trPr>
          <w:tblHeader/>
        </w:trPr>
        <w:tc>
          <w:tcPr>
            <w:tcW w:type="dxa" w:w="936"/>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173F5F"/>
          </w:tcPr>
          <w:p>
            <w:pPr>
              <w:pStyle w:val="TableText"/>
            </w:pPr>
            <w:r>
              <w:rPr>
                <w:b/>
                <w:color w:val="FFFFFF"/>
              </w:rPr>
              <w:t>Version</w:t>
            </w:r>
          </w:p>
        </w:tc>
        <w:tc>
          <w:tcPr>
            <w:tcW w:type="dxa" w:w="1656"/>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173F5F"/>
          </w:tcPr>
          <w:p>
            <w:pPr>
              <w:pStyle w:val="TableText"/>
            </w:pPr>
            <w:r>
              <w:rPr>
                <w:b/>
                <w:color w:val="FFFFFF"/>
              </w:rPr>
              <w:t>Prepared</w:t>
            </w:r>
          </w:p>
        </w:tc>
        <w:tc>
          <w:tcPr>
            <w:tcW w:type="dxa" w:w="740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173F5F"/>
          </w:tcPr>
          <w:p>
            <w:pPr>
              <w:pStyle w:val="TableText"/>
            </w:pPr>
            <w:r>
              <w:rPr>
                <w:b/>
                <w:color w:val="FFFFFF"/>
              </w:rPr>
              <w:t>Change</w:t>
            </w:r>
          </w:p>
        </w:tc>
      </w:tr>
      <w:tr>
        <w:trPr>
          <w:cantSplit/>
          <w:cantSplit/>
          <w:cantSplit/>
        </w:trPr>
        <w:tc>
          <w:tcPr>
            <w:tcW w:type="dxa" w:w="936"/>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2.0</w:t>
            </w:r>
          </w:p>
        </w:tc>
        <w:tc>
          <w:tcPr>
            <w:tcW w:type="dxa" w:w="1656"/>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29 October 2026</w:t>
            </w:r>
          </w:p>
        </w:tc>
        <w:tc>
          <w:tcPr>
            <w:tcW w:type="dxa" w:w="740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Expanded responsibilities operating procedures workplace investigations and reusable forms. Management approval and effective date remain to be recorded.</w:t>
            </w:r>
          </w:p>
        </w:tc>
      </w:tr>
    </w:tbl>
    <w:sectPr w:rsidR="00FC693F" w:rsidRPr="0006063C" w:rsidSect="00034616">
      <w:headerReference w:type="default" r:id="rId9"/>
      <w:footerReference w:type="default" r:id="rId10"/>
      <w:pgSz w:w="12240" w:h="15840"/>
      <w:pgMar w:top="1037" w:right="1123" w:bottom="979" w:left="1123" w:header="403"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6"/>
      </w:rPr>
      <w:t xml:space="preserve">Careland policy manual  |  Page </w:t>
    </w:r>
    <w:fldSimple w:instr="PAGE">
      <w:r>
        <w:t>1</w:t>
      </w:r>
    </w:fldSimple>
    <w:r>
      <w:rPr>
        <w:sz w:val="16"/>
      </w:rPr>
      <w:t xml:space="preserve"> of </w:t>
    </w:r>
    <w:fldSimple w:instr="NUMPAGES">
      <w: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Small"/>
    </w:pPr>
    <w:r>
      <w:rPr>
        <w:sz w:val="16"/>
      </w:rPr>
      <w:t>CARELAND POLICY MANUAL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120" w:line="259" w:lineRule="auto"/>
    </w:pPr>
    <w:rPr>
      <w:rFonts w:ascii="Calibri" w:hAnsi="Calibri"/>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80" w:after="120"/>
      <w:outlineLvl w:val="0"/>
    </w:pPr>
    <w:rPr>
      <w:rFonts w:asciiTheme="majorHAnsi" w:eastAsiaTheme="majorEastAsia" w:hAnsiTheme="majorHAnsi" w:cstheme="majorBidi" w:ascii="Calibri" w:hAnsi="Calibr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Calibri" w:hAnsi="Calibri"/>
      <w:b/>
      <w:bCs/>
      <w:color w:val="000000"/>
      <w:sz w:val="23"/>
      <w:szCs w:val="26"/>
    </w:rPr>
  </w:style>
  <w:style w:type="paragraph" w:styleId="Heading3">
    <w:name w:val="heading 3"/>
    <w:basedOn w:val="Normal"/>
    <w:next w:val="Normal"/>
    <w:link w:val="Heading3Char"/>
    <w:uiPriority w:val="9"/>
    <w:unhideWhenUsed/>
    <w:qFormat/>
    <w:rsid w:val="00FC693F"/>
    <w:pPr>
      <w:keepNext/>
      <w:keepLines/>
      <w:spacing w:before="80" w:after="120"/>
      <w:outlineLvl w:val="2"/>
    </w:pPr>
    <w:rPr>
      <w:rFonts w:asciiTheme="majorHAnsi" w:eastAsiaTheme="majorEastAsia" w:hAnsiTheme="majorHAnsi" w:cstheme="majorBidi" w:ascii="Calibri" w:hAnsi="Calibri"/>
      <w:b/>
      <w:bCs/>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280" w:line="240" w:lineRule="auto" w:before="80"/>
      <w:contextualSpacing/>
    </w:pPr>
    <w:rPr>
      <w:rFonts w:asciiTheme="majorHAnsi" w:eastAsiaTheme="majorEastAsia" w:hAnsiTheme="majorHAnsi" w:cstheme="majorBidi" w:ascii="Calibri" w:hAnsi="Calibri"/>
      <w:b/>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120" w:before="80"/>
    </w:pPr>
    <w:rPr>
      <w:rFonts w:asciiTheme="majorHAnsi" w:eastAsiaTheme="majorEastAsia" w:hAnsiTheme="majorHAnsi" w:cstheme="majorBidi" w:ascii="Calibri" w:hAnsi="Calibri"/>
      <w:b w:val="0"/>
      <w:i/>
      <w:iCs/>
      <w:color w:val="000000"/>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120"/>
      <w:contextualSpacing/>
    </w:pPr>
    <w:rPr>
      <w:rFonts w:ascii="Calibri" w:hAnsi="Calibri"/>
      <w:color w:val="00000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120"/>
      <w:contextualSpacing/>
    </w:pPr>
    <w:rPr>
      <w:rFonts w:ascii="Calibri" w:hAnsi="Calibri"/>
      <w:color w:val="000000"/>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 Text"/>
    <w:basedOn w:val="Normal"/>
    <w:pPr>
      <w:spacing w:after="80"/>
    </w:pPr>
    <w:rPr>
      <w:sz w:val="19"/>
    </w:rPr>
  </w:style>
  <w:style w:type="paragraph" w:customStyle="1" w:styleId="Small">
    <w:name w:val="Small"/>
    <w:basedOn w:val="Normal"/>
    <w:pPr>
      <w:spacing w:after="100"/>
    </w:pPr>
    <w:rPr>
      <w:sz w:val="18"/>
    </w:rPr>
  </w:style>
  <w:style w:type="paragraph" w:customStyle="1" w:styleId="FieldLabel">
    <w:name w:val="Field Label"/>
    <w:basedOn w:val="Normal"/>
    <w:pPr>
      <w:keepNext/>
      <w:spacing w:after="0"/>
    </w:pPr>
    <w:rPr>
      <w:b/>
      <w:sz w:val="20"/>
    </w:rPr>
  </w:style>
  <w:style w:type="paragraph" w:customStyle="1" w:styleId="ResponseLine">
    <w:name w:val="Response Line"/>
    <w:basedOn w:val="Normal"/>
    <w:pPr>
      <w:spacing w:after="100"/>
    </w:pPr>
    <w:rPr>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hyperlink" Target="https://www.alberta.ca/become-a-continuing-care-provider-or-operator" TargetMode="External"/><Relationship Id="rId13" Type="http://schemas.openxmlformats.org/officeDocument/2006/relationships/hyperlink" Target="https://www.alberta.ca/continuing-care-accommodation-and-health-service-standards" TargetMode="External"/><Relationship Id="rId14" Type="http://schemas.openxmlformats.org/officeDocument/2006/relationships/hyperlink" Target="https://www.alberta.ca/continuing-care-mandatory-reporting" TargetMode="External"/><Relationship Id="rId15" Type="http://schemas.openxmlformats.org/officeDocument/2006/relationships/hyperlink" Target="https://www.alberta.ca/about-protection-for-persons-in-care" TargetMode="External"/><Relationship Id="rId16" Type="http://schemas.openxmlformats.org/officeDocument/2006/relationships/hyperlink" Target="https://www.alberta.ca/report-child-abuse" TargetMode="External"/><Relationship Id="rId17" Type="http://schemas.openxmlformats.org/officeDocument/2006/relationships/hyperlink" Target="https://search-ohs-laws.alberta.ca/legislation/occupational-health-and-safety-code/part-27-violence-and-harassment/" TargetMode="External"/><Relationship Id="rId18" Type="http://schemas.openxmlformats.org/officeDocument/2006/relationships/hyperlink" Target="https://www.albertahumanrights.ab.ca/issues-at-work/harassment-at-work/" TargetMode="External"/><Relationship Id="rId19" Type="http://schemas.openxmlformats.org/officeDocument/2006/relationships/hyperlink" Target="https://www.albertahumanrights.ab.ca/issues-at-work/duty-to-accommodate-at-work/" TargetMode="External"/><Relationship Id="rId20" Type="http://schemas.openxmlformats.org/officeDocument/2006/relationships/hyperlink" Target="https://www.albertahumanrights.ab.ca/frequently-asked-questions/" TargetMode="External"/><Relationship Id="rId21" Type="http://schemas.openxmlformats.org/officeDocument/2006/relationships/hyperlink" Target="https://www.alberta.ca/personal-information-protection-act" TargetMode="External"/><Relationship Id="rId22" Type="http://schemas.openxmlformats.org/officeDocument/2006/relationships/hyperlink" Target="https://oipc.ab.ca/breach-notification/" TargetMode="External"/><Relationship Id="rId23" Type="http://schemas.openxmlformats.org/officeDocument/2006/relationships/hyperlink" Target="https://www.alberta.ca/es-exceptions-caregivers" TargetMode="External"/><Relationship Id="rId24" Type="http://schemas.openxmlformats.org/officeDocument/2006/relationships/hyperlink" Target="https://www.clha.com/hca/hcas/hca-faqs/" TargetMode="External"/><Relationship Id="rId25" Type="http://schemas.openxmlformats.org/officeDocument/2006/relationships/hyperlink" Target="https://www.ab.bluecross.ca/pdfs/CDHCI-provider-program-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Careland Policies and Procedures Manual</dc:title>
  <dc:subject>Home care operations and workplace reporting procedures</dc:subject>
  <dc:creator>Careland</dc:creator>
  <cp:keywords/>
  <dc:description>generated by python-docx</dc:description>
  <cp:lastModifiedBy/>
  <cp:revision>1</cp:revision>
  <dcterms:created xsi:type="dcterms:W3CDTF">2013-12-23T23:15:00Z</dcterms:created>
  <dcterms:modified xsi:type="dcterms:W3CDTF">2013-12-23T23:15:00Z</dcterms:modified>
  <cp:category/>
  <cp:version>2.0</cp:version>
</cp:coreProperties>
</file>