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834640" cy="885825"/>
            <wp:docPr id="1" name="Picture 1" descr="Careland logo in dark blue and gold"/>
            <wp:cNvGraphicFramePr>
              <a:graphicFrameLocks noChangeAspect="1"/>
            </wp:cNvGraphicFramePr>
            <a:graphic>
              <a:graphicData uri="http://schemas.openxmlformats.org/drawingml/2006/picture">
                <pic:pic>
                  <pic:nvPicPr>
                    <pic:cNvPr id="0" name="image1.png"/>
                    <pic:cNvPicPr/>
                  </pic:nvPicPr>
                  <pic:blipFill>
                    <a:blip r:embed="rId11"/>
                    <a:stretch>
                      <a:fillRect/>
                    </a:stretch>
                  </pic:blipFill>
                  <pic:spPr>
                    <a:xfrm>
                      <a:off x="0" y="0"/>
                      <a:ext cx="2834640" cy="885825"/>
                    </a:xfrm>
                    <a:prstGeom prst="rect"/>
                  </pic:spPr>
                </pic:pic>
              </a:graphicData>
            </a:graphic>
          </wp:inline>
        </w:drawing>
      </w:r>
    </w:p>
    <w:p>
      <w:pPr>
        <w:pStyle w:val="Title"/>
      </w:pPr>
      <w:r>
        <w:t>Careland Workplace Conduct and Employee Complaints</w:t>
      </w:r>
    </w:p>
    <w:p>
      <w:pPr>
        <w:pStyle w:val="Subtitle"/>
      </w:pPr>
      <w:r>
        <w:t>Sexual harassment discrimination and workplace safety</w:t>
      </w:r>
    </w:p>
    <w:p>
      <w:r>
        <w:t>Edmonton Alberta  |  Version 2.0  |  Prepared 29 October 2026</w:t>
      </w:r>
    </w:p>
    <w:p>
      <w:r>
        <w:t>Document owner Careland Management</w:t>
      </w:r>
    </w:p>
    <w:p>
      <w:r>
        <w:t>These policies explain respectful conduct, safe care visits, how to report concerns, fair investigation and protection from retaliation. They apply to work in client homes, hospitals and other approved settings, online and at work-related events.</w:t>
      </w:r>
    </w:p>
    <w:p>
      <w:r>
        <w:t>Each procedure identifies responsibilities, actions, records and management checks. Client-specific assessment, lawful professional authority and actual insurance coverage determine which tasks Careland may accept.</w:t>
      </w:r>
    </w:p>
    <w:p>
      <w:r>
        <w:t>Careland records management approval, an effective date and reporting contacts before staff implementation. Staff then receive orientation and task-specific competency assessment. This document does not itself record approval, accreditation or payer registration.</w:t>
      </w:r>
    </w:p>
    <w:p>
      <w:r>
        <w:t>Use the completed reporting contacts and the client-specific care plan on every shift. For immediate danger or a medical emergency call 911.</w:t>
      </w:r>
    </w:p>
    <w:p>
      <w:pPr>
        <w:pStyle w:val="Heading1"/>
        <w:pageBreakBefore/>
      </w:pPr>
      <w:r>
        <w:t>Reporting contacts and management approval</w:t>
      </w:r>
    </w:p>
    <w:p>
      <w:r>
        <w:t>Complete this page before issuing the policies to staff. Keep current contact details available on every shift. A complaint may be made verbally or in writing; a form, signature or confrontation is not required.</w:t>
      </w:r>
    </w:p>
    <w:p>
      <w:pPr>
        <w:pStyle w:val="FieldLabel"/>
      </w:pPr>
      <w:r>
        <w:t>Primary recipient name and role</w:t>
      </w:r>
    </w:p>
    <w:p>
      <w:pPr>
        <w:pStyle w:val="ResponseLine"/>
        <w:spacing w:line="240" w:lineRule="auto"/>
        <w:pBdr>
          <w:bottom w:val="single" w:sz="3" w:color="B8BEC3"/>
        </w:pBdr>
      </w:pPr>
      <w:r>
        <w:rPr>
          <w:sz w:val="22"/>
        </w:rPr>
        <w:t xml:space="preserve"> </w:t>
      </w:r>
    </w:p>
    <w:p>
      <w:pPr>
        <w:pStyle w:val="FieldLabel"/>
      </w:pPr>
      <w:r>
        <w:t>Private phone and confidential reporting method</w:t>
      </w:r>
    </w:p>
    <w:p>
      <w:pPr>
        <w:pStyle w:val="ResponseLine"/>
        <w:spacing w:line="240" w:lineRule="auto"/>
        <w:pBdr>
          <w:bottom w:val="single" w:sz="3" w:color="B8BEC3"/>
        </w:pBdr>
      </w:pPr>
      <w:r>
        <w:rPr>
          <w:sz w:val="22"/>
        </w:rPr>
        <w:t xml:space="preserve"> </w:t>
      </w:r>
    </w:p>
    <w:p>
      <w:pPr>
        <w:pStyle w:val="FieldLabel"/>
      </w:pPr>
      <w:r>
        <w:t>Independent external alternate name and role</w:t>
      </w:r>
    </w:p>
    <w:p>
      <w:pPr>
        <w:pStyle w:val="ResponseLine"/>
        <w:spacing w:line="240" w:lineRule="auto"/>
        <w:pBdr>
          <w:bottom w:val="single" w:sz="3" w:color="B8BEC3"/>
        </w:pBdr>
      </w:pPr>
      <w:r>
        <w:rPr>
          <w:sz w:val="22"/>
        </w:rPr>
        <w:t xml:space="preserve"> </w:t>
      </w:r>
    </w:p>
    <w:p>
      <w:pPr>
        <w:pStyle w:val="FieldLabel"/>
      </w:pPr>
      <w:r>
        <w:t>Alternate private phone and confidential reporting method</w:t>
      </w:r>
    </w:p>
    <w:p>
      <w:pPr>
        <w:pStyle w:val="ResponseLine"/>
        <w:spacing w:line="240" w:lineRule="auto"/>
        <w:pBdr>
          <w:bottom w:val="single" w:sz="3" w:color="B8BEC3"/>
        </w:pBdr>
      </w:pPr>
      <w:r>
        <w:rPr>
          <w:sz w:val="22"/>
        </w:rPr>
        <w:t xml:space="preserve"> </w:t>
      </w:r>
    </w:p>
    <w:p>
      <w:pPr>
        <w:pStyle w:val="FieldLabel"/>
      </w:pPr>
      <w:r>
        <w:t>On call operations contact and backup</w:t>
      </w:r>
    </w:p>
    <w:p>
      <w:pPr>
        <w:pStyle w:val="ResponseLine"/>
        <w:spacing w:line="240" w:lineRule="auto"/>
        <w:pBdr>
          <w:bottom w:val="single" w:sz="3" w:color="B8BEC3"/>
        </w:pBdr>
      </w:pPr>
      <w:r>
        <w:rPr>
          <w:sz w:val="22"/>
        </w:rPr>
        <w:t xml:space="preserve"> </w:t>
      </w:r>
    </w:p>
    <w:p>
      <w:pPr>
        <w:pStyle w:val="FieldLabel"/>
      </w:pPr>
      <w:r>
        <w:t>Designated privacy and safeguarding contact</w:t>
      </w:r>
    </w:p>
    <w:p>
      <w:pPr>
        <w:pStyle w:val="ResponseLine"/>
        <w:spacing w:line="240" w:lineRule="auto"/>
        <w:pBdr>
          <w:bottom w:val="single" w:sz="3" w:color="B8BEC3"/>
        </w:pBdr>
      </w:pPr>
      <w:r>
        <w:rPr>
          <w:sz w:val="22"/>
        </w:rPr>
        <w:t xml:space="preserve"> </w:t>
      </w:r>
    </w:p>
    <w:p>
      <w:pPr>
        <w:pStyle w:val="FieldLabel"/>
      </w:pPr>
      <w:r>
        <w:t>Approved by name role and signature</w:t>
      </w:r>
    </w:p>
    <w:p>
      <w:pPr>
        <w:pStyle w:val="ResponseLine"/>
        <w:spacing w:line="240" w:lineRule="auto"/>
        <w:pBdr>
          <w:bottom w:val="single" w:sz="3" w:color="B8BEC3"/>
        </w:pBdr>
      </w:pPr>
      <w:r>
        <w:rPr>
          <w:sz w:val="22"/>
        </w:rPr>
        <w:t xml:space="preserve"> </w:t>
      </w:r>
    </w:p>
    <w:p>
      <w:pPr>
        <w:pStyle w:val="FieldLabel"/>
      </w:pPr>
      <w:r>
        <w:t>Effective date and next annual review date</w:t>
      </w:r>
    </w:p>
    <w:p>
      <w:pPr>
        <w:pStyle w:val="ResponseLine"/>
        <w:spacing w:line="240" w:lineRule="auto"/>
        <w:pBdr>
          <w:bottom w:val="single" w:sz="3" w:color="B8BEC3"/>
        </w:pBdr>
      </w:pPr>
      <w:r>
        <w:rPr>
          <w:sz w:val="22"/>
        </w:rPr>
        <w:t xml:space="preserve"> </w:t>
      </w:r>
    </w:p>
    <w:p>
      <w:pPr>
        <w:pStyle w:val="Small"/>
      </w:pPr>
      <w:r>
        <w:t>Employees may bypass anyone involved in the concern. An owner-related complaint must go to the independent external recipient and investigator; the owner must not screen, investigate or decide their own case. Arrange that independent route before staff issue.</w:t>
      </w:r>
    </w:p>
    <w:p>
      <w:pPr>
        <w:pStyle w:val="Small"/>
      </w:pPr>
      <w:r>
        <w:t>Record affected-worker consultation, orientation and any communication or accessibility support. Do not place completed complaints or personal medical information in a public copy.</w:t>
      </w:r>
    </w:p>
    <w:p>
      <w:pPr>
        <w:pStyle w:val="Heading1"/>
        <w:pageBreakBefore/>
      </w:pPr>
      <w:r>
        <w:t>Contents</w:t>
      </w:r>
    </w:p>
    <w:p>
      <w:pPr>
        <w:pStyle w:val="Small"/>
      </w:pPr>
      <w:r>
        <w:t>Select a policy heading to navigate in Word. Every page is numbered; forms are identified by a stable letter.</w:t>
      </w:r>
    </w:p>
    <w:p>
      <w:pPr>
        <w:pStyle w:val="Small"/>
        <w:spacing w:after="60"/>
      </w:pPr>
      <w:hyperlink w:anchor="policy_25">
        <w:r>
          <w:rPr>
            <w:color w:val="173F5F"/>
            <w:u w:val="single"/>
          </w:rPr>
          <w:t>25 Sexual harassment and respectful conduct</w:t>
        </w:r>
      </w:hyperlink>
    </w:p>
    <w:p>
      <w:pPr>
        <w:pStyle w:val="Small"/>
        <w:spacing w:after="60"/>
      </w:pPr>
      <w:hyperlink w:anchor="policy_26">
        <w:r>
          <w:rPr>
            <w:color w:val="173F5F"/>
            <w:u w:val="single"/>
          </w:rPr>
          <w:t>26 Discrimination and accommodation</w:t>
        </w:r>
      </w:hyperlink>
    </w:p>
    <w:p>
      <w:pPr>
        <w:pStyle w:val="Small"/>
        <w:spacing w:after="60"/>
      </w:pPr>
      <w:hyperlink w:anchor="policy_27">
        <w:r>
          <w:rPr>
            <w:color w:val="173F5F"/>
            <w:u w:val="single"/>
          </w:rPr>
          <w:t>27 Employee complaints investigation and review</w:t>
        </w:r>
      </w:hyperlink>
    </w:p>
    <w:p>
      <w:pPr>
        <w:pStyle w:val="Small"/>
        <w:spacing w:after="60"/>
      </w:pPr>
      <w:hyperlink w:anchor="policy_28">
        <w:r>
          <w:rPr>
            <w:color w:val="173F5F"/>
            <w:u w:val="single"/>
          </w:rPr>
          <w:t>28 Violence and harassment prevention</w:t>
        </w:r>
      </w:hyperlink>
    </w:p>
    <w:p>
      <w:pPr>
        <w:pStyle w:val="Small"/>
      </w:pPr>
      <w:r>
        <w:t>Workplace administration and external options</w:t>
      </w:r>
    </w:p>
    <w:p>
      <w:pPr>
        <w:pStyle w:val="Small"/>
      </w:pPr>
      <w:r>
        <w:t>Forms M N O T U and V and reference sources</w:t>
      </w:r>
    </w:p>
    <w:p>
      <w:bookmarkStart w:id="54" w:name="policy_25"/>
      <w:pPr>
        <w:pStyle w:val="Heading1"/>
        <w:pageBreakBefore/>
      </w:pPr>
      <w:r>
        <w:t>25 Sexual harassment and respectful conduct</w:t>
      </w:r>
      <w:bookmarkEnd w:id="54"/>
    </w:p>
    <w:p>
      <w:pPr>
        <w:pStyle w:val="Small"/>
      </w:pPr>
      <w:r>
        <w:t>Responsible person  Designated manager and independent alternate where required</w:t>
      </w:r>
    </w:p>
    <w:p>
      <w:pPr>
        <w:pStyle w:val="Heading2"/>
      </w:pPr>
      <w:r>
        <w:t>Policy</w:t>
      </w:r>
    </w:p>
    <w:p>
      <w:r>
        <w:t>Careland prohibits sexual harassment, bullying and other workplace harassment. This applies to owners, managers, employees, applicants, students, volunteers and contractors, and to conduct involving clients, relatives, visitors or other providers. Work related messages, social media, travel, training and events are covered, including conduct outside a scheduled shift that affects the workplace.</w:t>
      </w:r>
    </w:p>
    <w:p>
      <w:pPr>
        <w:pStyle w:val="Heading2"/>
      </w:pPr>
      <w:r>
        <w:t>Recognizing prohibited conduct</w:t>
      </w:r>
    </w:p>
    <w:p>
      <w:r>
        <w:t>Harassment may be one serious incident or repeated unwelcome conduct that a person knows or reasonably should know would humiliate or offend a worker or harm their health or safety. Sexual harassment includes unwelcome sexual conduct or conduct based on gender, gender identity, gender expression or sexual orientation. A person does not have to object aloud for conduct to be unwelcome.</w:t>
      </w:r>
    </w:p>
    <w:p>
      <w:pPr>
        <w:pStyle w:val="ListBullet"/>
      </w:pPr>
      <w:r>
        <w:t>Sexual comments, intrusive questions, degrading jokes, sexual images or messages, unwanted flirting, touching, exposure or sexual gestures.</w:t>
      </w:r>
    </w:p>
    <w:p>
      <w:pPr>
        <w:pStyle w:val="ListBullet"/>
      </w:pPr>
      <w:r>
        <w:t>Requests for sexual contact linked to hiring, favourable shifts, pay or continued employment, and threats or punishment after rejection.</w:t>
      </w:r>
    </w:p>
    <w:p>
      <w:pPr>
        <w:pStyle w:val="ListBullet"/>
      </w:pPr>
      <w:r>
        <w:t>Insults, intimidation, deliberate humiliation, repeated targeted exclusion or abusive electronic messages. Disagreement or reasonable, respectful supervision alone is not harassment.</w:t>
      </w:r>
    </w:p>
    <w:p>
      <w:pPr>
        <w:pStyle w:val="Heading2"/>
      </w:pPr>
      <w:r>
        <w:t>Employee and supervisor procedure</w:t>
      </w:r>
    </w:p>
    <w:p>
      <w:r>
        <w:t>Employees must maintain professional boundaries, stop their own unwelcome conduct, cooperate with investigations and report concerns through the complaint procedure. If safe and comfortable, an employee may ask that conduct stop. Doing so is optional. Preserve relevant messages and make factual notes; do not circulate offensive material beyond the authorized process.</w:t>
      </w:r>
    </w:p>
    <w:p>
      <w:r>
        <w:t>Supervisors who observe or learn of possible harassment must protect those at risk, report it promptly and preserve evidence. They must not dismiss it as a joke, require an employee to manage it alone, or promise an outcome before an impartial review. Careland responds when it becomes aware of a concern even if no written complaint is made or a report is later withdrawn.</w:t>
      </w:r>
    </w:p>
    <w:p>
      <w:pPr>
        <w:pStyle w:val="Heading2"/>
      </w:pPr>
      <w:r>
        <w:t>Conduct during home care</w:t>
      </w:r>
    </w:p>
    <w:p>
      <w:r>
        <w:t>Sexual or romantic relationships with current clients, exploitation and sexual contact during care are prohibited. Obtain permission before personal care, explain necessary touch, preserve privacy and follow the care plan. Do not exchange personal sexual messages, request intimate images or use care access to seek a personal relationship.</w:t>
      </w:r>
    </w:p>
    <w:p>
      <w:r>
        <w:t>A client condition such as dementia may affect how Careland responds to behaviour, but staff must still be protected. Step back, obtain help and report sexual touching, threats or exposure. Management assesses triggers and care needs, obtains appropriate clinical advice and changes the plan, staffing or setting before further unsafe exposure. Use a safe handover or emergency response when a dependent client needs immediate assistance.</w:t>
      </w:r>
    </w:p>
    <w:p>
      <w:pPr>
        <w:pStyle w:val="Heading2"/>
      </w:pPr>
      <w:r>
        <w:t>Responding to an allegation of sexual misconduct</w:t>
      </w:r>
    </w:p>
    <w:p>
      <w:r>
        <w:t>Receive an allegation without blame, disbelief or a promise about the outcome. Ask only what is needed for immediate protection and referral. Give the person control over reasonable communication and support arrangements.</w:t>
      </w:r>
    </w:p>
    <w:p>
      <w:r>
        <w:t>If sexual assault or another urgent offence may have occurred, address immediate danger and medical needs first. Explain the police and medical options and assess any mandatory reporting duty. Do not conduct a physical examination, demand intimate details or collect forensic evidence yourself.</w:t>
      </w:r>
    </w:p>
    <w:p>
      <w:r>
        <w:t>Preserve the original report, messages and relevant care records securely. Do not circulate intimate images or ask staff to forward them in a group chat. Seek specialist direction where evidence involves a child or unlawful material.</w:t>
      </w:r>
    </w:p>
    <w:p>
      <w:r>
        <w:t>Assess whether the alleged conduct involves a client, worker, manager, visitor or contractor. Use the independent external route if the owner is involved. Apply safeguarding and workplace procedures together where a client and employee may both be at risk.</w:t>
      </w:r>
    </w:p>
    <w:p>
      <w:pPr>
        <w:pStyle w:val="Heading2"/>
      </w:pPr>
      <w:r>
        <w:t>Interim arrangements during a care assignment</w:t>
      </w:r>
    </w:p>
    <w:p>
      <w:r>
        <w:t>Consider different staff or supervision, a second worker, a no-contact instruction or a temporary task restriction. Explain that interim measures protect people while facts are assessed and do not establish guilt.</w:t>
      </w:r>
    </w:p>
    <w:p>
      <w:r>
        <w:t>Consult the reporting person about safety and preferences. Avoid automatically removing their shifts or earnings as the response to reporting. Document the practical effect of every temporary measure and review it regularly.</w:t>
      </w:r>
    </w:p>
    <w:p>
      <w:r>
        <w:t>If the client is alleged to have harassed a worker, discuss appropriate care boundaries and safeguards through management. A client's illness or impairment may affect care planning, but management must still control hazards to workers.</w:t>
      </w:r>
    </w:p>
    <w:p>
      <w:r>
        <w:t>If an employee is alleged to have harmed a client, arrange safe care, protect access to evidence and use a fair employment process. Do not allow the employee to investigate the client or contact witnesses about their evidence.</w:t>
      </w:r>
    </w:p>
    <w:p>
      <w:pPr>
        <w:pStyle w:val="Heading2"/>
      </w:pPr>
      <w:r>
        <w:t>Respectful care example</w:t>
      </w:r>
    </w:p>
    <w:p>
      <w:r>
        <w:t>A client makes repeated sexual comments during bathing support. The worker may stop the task, move to safety and notify the manager. Management records the concern, arranges safe alternative care, assesses triggers and staffing controls, and investigates the workplace incident. The worker is not required to accept the conduct as part of care.</w:t>
      </w:r>
    </w:p>
    <w:p>
      <w:bookmarkStart w:id="55" w:name="policy_26"/>
      <w:pPr>
        <w:pStyle w:val="Heading1"/>
        <w:pageBreakBefore/>
      </w:pPr>
      <w:r>
        <w:t>26 Discrimination and accommodation</w:t>
      </w:r>
      <w:bookmarkEnd w:id="55"/>
    </w:p>
    <w:p>
      <w:pPr>
        <w:pStyle w:val="Small"/>
      </w:pPr>
      <w:r>
        <w:t>Responsible person  Designated manager and independent alternate where required</w:t>
      </w:r>
    </w:p>
    <w:p>
      <w:pPr>
        <w:pStyle w:val="Heading2"/>
      </w:pPr>
      <w:r>
        <w:t>Policy</w:t>
      </w:r>
    </w:p>
    <w:p>
      <w:r>
        <w:t>Careland provides fair access to employment and services and prohibits discrimination. Decisions about hiring, wages, training, assignments, promotion, discipline and ending employment must use relevant, documented criteria. Employees and clients must be treated respectfully regardless of identity or background.</w:t>
      </w:r>
    </w:p>
    <w:p>
      <w:r>
        <w:t>Protected grounds under the Alberta Human Rights Act include race, colour, ancestry, place of origin, religious beliefs, gender including pregnancy, gender identity, gender expression, sexual orientation, age, marital status, family status, physical disability, mental disability and source of income. Careland applies this respect standard throughout its operations, including where its internal protections are broader than a particular statutory provision.</w:t>
      </w:r>
    </w:p>
    <w:p>
      <w:pPr>
        <w:pStyle w:val="Heading2"/>
      </w:pPr>
      <w:r>
        <w:t>Prohibited practices</w:t>
      </w:r>
    </w:p>
    <w:p>
      <w:pPr>
        <w:pStyle w:val="ListBullet"/>
      </w:pPr>
      <w:r>
        <w:t>Racial slurs, accent mockery, religious insults, stereotypes or unequal treatment based on a protected ground.</w:t>
      </w:r>
    </w:p>
    <w:p>
      <w:pPr>
        <w:pStyle w:val="ListBullet"/>
      </w:pPr>
      <w:r>
        <w:t>Denying training, reducing shifts or imposing different standards because of pregnancy, disability, family responsibilities or another protected ground.</w:t>
      </w:r>
    </w:p>
    <w:p>
      <w:pPr>
        <w:pStyle w:val="ListBullet"/>
      </w:pPr>
      <w:r>
        <w:t>Maintaining a rule that disadvantages a person on a protected ground without properly considering accommodation and any lawful occupational requirement.</w:t>
      </w:r>
    </w:p>
    <w:p>
      <w:pPr>
        <w:pStyle w:val="Heading2"/>
      </w:pPr>
      <w:r>
        <w:t>Accommodation procedure</w:t>
      </w:r>
    </w:p>
    <w:p>
      <w:r>
        <w:t>1. Request. The employee or applicant may ask the owner, designated manager or independent alternate for accommodation verbally or in writing. No special legal wording is required. Management must also make appropriate inquiries when circumstances reasonably indicate a need.</w:t>
      </w:r>
    </w:p>
    <w:p>
      <w:r>
        <w:t>2. Understand the need. Discuss work limitations and needed changes privately. Request only information reasonably necessary to assess the request. For disability, focus on functional restrictions, expected duration and safe duties; a specific diagnosis is generally not required. Keep medical information separate from ordinary personnel records.</w:t>
      </w:r>
    </w:p>
    <w:p>
      <w:r>
        <w:t>3. Assess options. Consider changes to schedules, uniforms, equipment, communication, duties, training or accessible processes. Consult the person and assess client safety, worker competence and essential duties individually. Accommodate to the point of undue hardship and document the reasons and supporting evidence for any limit.</w:t>
      </w:r>
    </w:p>
    <w:p>
      <w:r>
        <w:t>4. Implement and review. Record the agreed measures, responsible person, start date and review date. Explain any decision to decline an option, consider alternatives and provide access to the complaint procedure. The employee must cooperate and consider reasonable options. Do not penalize a person for requesting accommodation.</w:t>
      </w:r>
    </w:p>
    <w:p>
      <w:pPr>
        <w:pStyle w:val="Heading2"/>
      </w:pPr>
      <w:r>
        <w:t>Client requests and staffing</w:t>
      </w:r>
    </w:p>
    <w:p>
      <w:r>
        <w:t>Workers must refer requests to exclude staff because of a protected ground to management. Careland will not automatically accept a discriminatory preference. Management assesses any legitimate privacy, cultural, accommodation or care need and obtains advice where required before deciding. Staff must not promise a particular staffing decision to a client or family.</w:t>
      </w:r>
    </w:p>
    <w:p>
      <w:pPr>
        <w:pStyle w:val="Heading2"/>
      </w:pPr>
      <w:r>
        <w:t>Handling a request for accommodation</w:t>
      </w:r>
    </w:p>
    <w:p>
      <w:r>
        <w:t>Record the date, the need described, the job or service barrier, a safe contact method and any urgent temporary measure. A person does not need to use legal terminology or submit the optional form before Careland responds.</w:t>
      </w:r>
    </w:p>
    <w:p>
      <w:r>
        <w:t>Ask for information that explains the functional need and relevant restrictions. Do not seek an entire medical record when more limited information will do. Store medical and accommodation records separately with restricted access.</w:t>
      </w:r>
    </w:p>
    <w:p>
      <w:r>
        <w:t>Assess options with the person and document the expected benefit, feasibility, safety and any remaining barrier. If a trial is appropriate, name the person responsible and set a review date. Do not promise an option that would require unqualified clinical practice.</w:t>
      </w:r>
    </w:p>
    <w:p>
      <w:r>
        <w:t>Explain the decision in writing. If an option is declined, record the specific reasons and alternatives considered; obtain appropriate advice before concluding that accommodation would cause undue hardship. Provide the complaint and review route.</w:t>
      </w:r>
    </w:p>
    <w:p>
      <w:r>
        <w:t>Review an arrangement when needs, duties or client risks change. Share only the work instructions supervisors need, rather than the person's diagnosis or unrelated personal history.</w:t>
      </w:r>
    </w:p>
    <w:p>
      <w:pPr>
        <w:pStyle w:val="Heading2"/>
      </w:pPr>
      <w:r>
        <w:t>Staffing and client preferences</w:t>
      </w:r>
    </w:p>
    <w:p>
      <w:r>
        <w:t>Distinguish a legitimate privacy or support need from a request to exclude a worker because of a protected characteristic. Refer the request to management for an individual assessment. Do not assure a client that a discriminatory request will be accepted.</w:t>
      </w:r>
    </w:p>
    <w:p>
      <w:r>
        <w:t>Use objective, role-related selection and assignment criteria. Document decisions about recruitment, promotion, training, shifts and discipline so they can be reviewed for consistency and discriminatory effect.</w:t>
      </w:r>
    </w:p>
    <w:p>
      <w:bookmarkStart w:id="56" w:name="policy_27"/>
      <w:pPr>
        <w:pStyle w:val="Heading1"/>
        <w:pageBreakBefore/>
      </w:pPr>
      <w:r>
        <w:t>27 Employee complaints investigation and review</w:t>
      </w:r>
      <w:bookmarkEnd w:id="56"/>
    </w:p>
    <w:p>
      <w:pPr>
        <w:pStyle w:val="Small"/>
      </w:pPr>
      <w:r>
        <w:t>Responsible person  Designated manager and independent alternate where required</w:t>
      </w:r>
    </w:p>
    <w:p>
      <w:pPr>
        <w:pStyle w:val="Heading2"/>
      </w:pPr>
      <w:r>
        <w:t>Policy and access</w:t>
      </w:r>
    </w:p>
    <w:p>
      <w:r>
        <w:t>Employees may raise concerns about harassment, discrimination, pay, scheduling, supervision, safety, privacy, unfair treatment or any workplace practice without retaliation. Client service complaints also follow the service complaint policy. Where concerns overlap, management coordinates a response without delaying safeguarding or safety action.</w:t>
      </w:r>
    </w:p>
    <w:p>
      <w:r>
        <w:t>Use the completed reporting contacts in this policy set. Report to the owner or designated manager, or directly to the independent alternate if the primary recipient is involved, unavailable or unsuitable. Concerns involving the owner go to the independent external recipient. Employees may seek external assistance at any time; internal steps are not a prerequisite.</w:t>
      </w:r>
    </w:p>
    <w:p>
      <w:pPr>
        <w:pStyle w:val="Heading2"/>
      </w:pPr>
      <w:r>
        <w:t>How to make a report</w:t>
      </w:r>
    </w:p>
    <w:p>
      <w:r>
        <w:t>Report as soon as reasonably possible, verbally or in writing. The complaint form is optional. Include what happened, when and where, the people involved, witnesses, available evidence, any immediate risk and the safest way to contact you. Provide facts you know and identify information learned from others. The recipient will help record a verbal report and give the reporting person an opportunity to correct it.</w:t>
      </w:r>
    </w:p>
    <w:p>
      <w:r>
        <w:t>Witnesses may report. Anonymous reports are accepted and assessed as far as the available information permits; anonymity may limit follow up and fact finding. There is no internal reporting cut off under this policy. Preserve original messages and notes without accessing records you are not authorized to see. Use a private reporting method; do not place detailed allegations in a shared client file or public group chat.</w:t>
      </w:r>
    </w:p>
    <w:p>
      <w:pPr>
        <w:pStyle w:val="Heading2"/>
      </w:pPr>
      <w:r>
        <w:t>Initial response and protection</w:t>
      </w:r>
    </w:p>
    <w:p>
      <w:r>
        <w:t>The recipient records the date, checks for a conflict of interest and assesses immediate danger, urgent client needs and evidence at risk. Arrange medical help or a safe handover where needed. Notify only authorized people and arrange an impartial investigator. A supervisor must escalate allegations of harassment, violence, discrimination or retaliation instead of treating them as routine disagreement.</w:t>
      </w:r>
    </w:p>
    <w:p>
      <w:r>
        <w:t>Careland may separate work contact, change supervision, provide a second worker, restrict access or arrange other interim protections. Interim measures do not decide whether an allegation is true. Consult affected employees and avoid shifting the burden onto the reporting person or reducing their earnings as a response to reporting.</w:t>
      </w:r>
    </w:p>
    <w:p>
      <w:pPr>
        <w:pStyle w:val="Heading2"/>
      </w:pPr>
      <w:r>
        <w:t>Internal service targets</w:t>
      </w:r>
    </w:p>
    <w:p>
      <w:pPr>
        <w:pStyle w:val="ListBullet"/>
      </w:pPr>
      <w:r>
        <w:t>Assess immediate safety when the concern is received; acknowledge receipt within two business days.</w:t>
      </w:r>
    </w:p>
    <w:p>
      <w:pPr>
        <w:pStyle w:val="ListBullet"/>
      </w:pPr>
      <w:r>
        <w:t>Identify the investigator and explain next steps within five business days. Give an update at least every ten business days while the matter remains open.</w:t>
      </w:r>
    </w:p>
    <w:p>
      <w:pPr>
        <w:pStyle w:val="ListBullet"/>
      </w:pPr>
      <w:r>
        <w:t>Aim to complete fact finding and issue an outcome within thirty calendar days. If more time is needed, explain the reason, revised date and continuing protections.</w:t>
      </w:r>
    </w:p>
    <w:p>
      <w:r>
        <w:t>These are Careland service targets. They do not extend an external filing deadline or justify delaying urgent protection or a required investigation.</w:t>
      </w:r>
    </w:p>
    <w:p>
      <w:pPr>
        <w:pStyle w:val="Heading2"/>
      </w:pPr>
      <w:r>
        <w:t>Investigation resolution and review</w:t>
      </w:r>
    </w:p>
    <w:p>
      <w:pPr>
        <w:pStyle w:val="Heading2"/>
      </w:pPr>
      <w:r>
        <w:t>Fair investigation</w:t>
      </w:r>
    </w:p>
    <w:p>
      <w:r>
        <w:t>Careland investigates every incident of workplace violence or harassment that comes to its attention. The investigator must be competent, impartial and free of involvement in the events. Use an independent external investigator for an owner related complaint or where an internal investigator cannot act fairly. The person complained about must not select evidence, control access to the investigator or make the decision on their own case.</w:t>
      </w:r>
    </w:p>
    <w:p>
      <w:r>
        <w:t>The investigator defines the allegations and scope, interviews the parties and relevant witnesses separately, preserves records and gives each party a meaningful opportunity to respond to the allegations and relevant information. A support person, interpreter or accessible communication may be arranged, provided they do not interfere or create a conflict. Do not require a joint meeting, confrontation or mediation. Voluntary informal resolution must not replace a required violence or harassment investigation.</w:t>
      </w:r>
    </w:p>
    <w:p>
      <w:r>
        <w:t>Assess each allegation on whether it is more likely than not to have occurred, using the available evidence and reasons for credibility findings. A finding that evidence is insufficient does not mean the complaint was dishonest. Record established facts, disputed facts, findings, reasons and recommended prevention measures in a written report.</w:t>
      </w:r>
    </w:p>
    <w:p>
      <w:pPr>
        <w:pStyle w:val="Heading2"/>
      </w:pPr>
      <w:r>
        <w:t>Outcome and corrective action</w:t>
      </w:r>
    </w:p>
    <w:p>
      <w:r>
        <w:t>A decision maker without a conflict reviews the report and assigns action, an owner and a completion date. Depending on the findings, action may include coaching, training, restored opportunities, accommodation, closer supervision, revised care arrangements, discipline up to and including dismissal, or ending a contractor or client arrangement with a safe transition. Obtain appropriate employment advice before discipline or termination.</w:t>
      </w:r>
    </w:p>
    <w:p>
      <w:r>
        <w:t>Inform the complainant and respondent separately in writing of the findings relevant to them and the corrective action needed to address the concern, while limiting unrelated personal information. Explain any limits on disclosure. Keep the full investigation report restricted. Check safety, compliance and retaliation within two weeks of the outcome and again at about thirty days.</w:t>
      </w:r>
    </w:p>
    <w:p>
      <w:pPr>
        <w:pStyle w:val="Heading2"/>
      </w:pPr>
      <w:r>
        <w:t>Review and unresolved concerns</w:t>
      </w:r>
    </w:p>
    <w:p>
      <w:r>
        <w:t>A party may request review within ten business days after receiving the outcome, identifying new evidence, an important process concern or a conflict. Use a different reviewer where possible and an independent external reviewer when management is implicated. Aim to communicate the review decision within fifteen business days or explain an extension. Careland may accept a late review where reasonable; review does not restrict external rights or deadlines.</w:t>
      </w:r>
    </w:p>
    <w:p>
      <w:pPr>
        <w:pStyle w:val="Heading2"/>
      </w:pPr>
      <w:r>
        <w:t>No retaliation</w:t>
      </w:r>
    </w:p>
    <w:p>
      <w:r>
        <w:t>Careland prohibits threats, lost shifts, exclusion, intimidation or other adverse treatment for raising a concern honestly, supporting another person, participating in a review or seeking external help. Report retaliation through either reporting contact; it will be examined as a separate concern. A complaint made honestly is protected even if it is not upheld. Deliberately fabricated evidence or knowingly false allegations may lead to action only after a fair assessment.</w:t>
      </w:r>
    </w:p>
    <w:p>
      <w:pPr>
        <w:pStyle w:val="Heading2"/>
      </w:pPr>
      <w:r>
        <w:t>Complaint triage</w:t>
      </w:r>
    </w:p>
    <w:p>
      <w:r>
        <w:t>Identify the issue and all applicable routes. Pay and scheduling concerns may need payroll correction; harassment or violence needs the required investigation; a client allegation also needs safeguarding; a privacy concern needs the privacy officer. Do not let one route delay another urgent duty.</w:t>
      </w:r>
    </w:p>
    <w:p>
      <w:r>
        <w:t>Open a restricted case file using a reference number. Record receipt, immediate risks, the people responsible, conflicts, evidence at risk and any external reporting deadline. Keep identifying details out of a general shift roster.</w:t>
      </w:r>
    </w:p>
    <w:p>
      <w:r>
        <w:t>Contact the reporting person through the safe method they provide. Explain who will see information, the limits of confidentiality, the next contact date and how to report retaliation. Offer reasonable language and accessibility support.</w:t>
      </w:r>
    </w:p>
    <w:p>
      <w:r>
        <w:t>Where the report is anonymous or the reporting person withdraws, assess available evidence and remaining safety or investigation duties. Record limitations and reasons for continuing or closing a particular line of inquiry.</w:t>
      </w:r>
    </w:p>
    <w:p>
      <w:pPr>
        <w:pStyle w:val="Heading2"/>
      </w:pPr>
      <w:r>
        <w:t>Investigation plan and evidence</w:t>
      </w:r>
    </w:p>
    <w:p>
      <w:r>
        <w:t>Define each allegation in neutral terms and identify the policy provisions to be considered. Give the respondent enough relevant information and an opportunity to answer, while protecting unnecessary intimate or third-party information.</w:t>
      </w:r>
    </w:p>
    <w:p>
      <w:r>
        <w:t>Identify witnesses and records in advance, arrange separate interviews and keep dated notes. Ask open questions, distinguish direct observation from hearsay and allow people to correct their recorded account.</w:t>
      </w:r>
    </w:p>
    <w:p>
      <w:r>
        <w:t>Assess consistency, supporting records, opportunity to observe and credible explanations for discrepancies. Do not decide credibility from a person's job title, confidence, disability, language or reaction to distress.</w:t>
      </w:r>
    </w:p>
    <w:p>
      <w:r>
        <w:t>Use the civil balance of probabilities for internal findings and record reasons for each allegation separately. Possible findings include established, not established on available evidence or outside scope with referral; a lack of proof is not itself proof of dishonesty.</w:t>
      </w:r>
    </w:p>
    <w:p>
      <w:r>
        <w:t>Separate fact-finding from the disciplinary decision where feasible. The decision-maker reviews the evidence, applicable employment terms and any required advice before selecting proportionate action.</w:t>
      </w:r>
    </w:p>
    <w:p>
      <w:pPr>
        <w:pStyle w:val="Heading2"/>
      </w:pPr>
      <w:r>
        <w:t>Communicating and checking the outcome</w:t>
      </w:r>
    </w:p>
    <w:p>
      <w:r>
        <w:t>Send each party a separate written outcome stating the findings relevant to them, the corrective measures needed to address the concern, any continuing safety directions and how to request review. Do not automatically distribute the complete confidential report.</w:t>
      </w:r>
    </w:p>
    <w:p>
      <w:r>
        <w:t>Record action owners and due dates. Check within two weeks and again at about thirty days for compliance, unresolved safety needs and retaliation. Reopen or escalate if the action has not worked.</w:t>
      </w:r>
    </w:p>
    <w:p>
      <w:r>
        <w:t>Retain a clear review trail, including new evidence, process concerns, the reviewer and reasons. An internal outcome does not determine a criminal case or remove a party's right to contact an external authority.</w:t>
      </w:r>
    </w:p>
    <w:p>
      <w:bookmarkStart w:id="57" w:name="policy_28"/>
      <w:pPr>
        <w:pStyle w:val="Heading1"/>
        <w:pageBreakBefore/>
      </w:pPr>
      <w:r>
        <w:t>28 Violence and harassment prevention</w:t>
      </w:r>
      <w:bookmarkEnd w:id="57"/>
    </w:p>
    <w:p>
      <w:pPr>
        <w:pStyle w:val="Small"/>
      </w:pPr>
      <w:r>
        <w:t>Responsible person  Designated manager and independent alternate where required</w:t>
      </w:r>
    </w:p>
    <w:p>
      <w:pPr>
        <w:pStyle w:val="Heading2"/>
      </w:pPr>
      <w:r>
        <w:t>Policy and responsibilities</w:t>
      </w:r>
    </w:p>
    <w:p>
      <w:r>
        <w:t>Careland will assess and eliminate violence and harassment hazards where reasonably practicable and otherwise control them. Threats, assault, stalking, sexual violence and domestic violence affecting work require a safety response. Management assigns controls and resources, supervisors verify them before a shift, and workers follow the plan and report hazards. Consult the health and safety committee or representative, where present, or affected workers when developing, implementing and reviewing the plan.</w:t>
      </w:r>
    </w:p>
    <w:p>
      <w:pPr>
        <w:pStyle w:val="Heading2"/>
      </w:pPr>
      <w:r>
        <w:t>Controls for care visits</w:t>
      </w:r>
    </w:p>
    <w:p>
      <w:pPr>
        <w:pStyle w:val="ListBullet"/>
      </w:pPr>
      <w:r>
        <w:t>Before admission and when needs change, record known aggression, harassment, sexual behaviour, domestic violence threats, unsafe visitors, weapons, communication needs, exit routes and risks from working alone. Use only necessary personal information.</w:t>
      </w:r>
    </w:p>
    <w:p>
      <w:pPr>
        <w:pStyle w:val="ListBullet"/>
      </w:pPr>
      <w:r>
        <w:t>Tell assigned workers the nature and extent of relevant threats and the controls before exposure. Update affected staff promptly when risks change, without disclosing unrelated personal information.</w:t>
      </w:r>
    </w:p>
    <w:p>
      <w:pPr>
        <w:pStyle w:val="ListBullet"/>
      </w:pPr>
      <w:r>
        <w:t>Set a site specific plan: visit staffing, safe positioning and exits, behaviour strategies, boundaries, a working phone, check in times, emergency contacts and a missed check response. Use two workers or change the care arrangement where the assessment requires it.</w:t>
      </w:r>
    </w:p>
    <w:p>
      <w:pPr>
        <w:pStyle w:val="ListBullet"/>
      </w:pPr>
      <w:r>
        <w:t>Do not schedule a worker into an uncontrolled serious hazard. Discuss expectations with clients and relatives. Restrict unsafe visitors or pause service when necessary, with a safe handover or emergency assistance for a dependent client.</w:t>
      </w:r>
    </w:p>
    <w:p>
      <w:pPr>
        <w:pStyle w:val="Heading2"/>
      </w:pPr>
      <w:r>
        <w:t>Response and obtaining help</w:t>
      </w:r>
    </w:p>
    <w:p>
      <w:r>
        <w:t>If threatened, stop the task, create distance and leave the immediate danger. Call 911 for immediate danger or urgent injury; contact the supervisor as soon as safe. Do not physically restrain, confront or pursue an aggressor. Provide a safe handover where feasible and tell responders if a dependent client remains at risk. Management arranges replacement care or emergency help and must not require return until controls are reassessed.</w:t>
      </w:r>
    </w:p>
    <w:p>
      <w:r>
        <w:t>For a missed scheduled check, the designated monitor immediately attempts the worker and site contacts. If safety cannot be verified, use the documented escalation plan and call emergency services when danger is suspected. After an incident, preserve evidence, record the concern and follow the investigation procedure. Management assesses any required OHS, police, safeguarding, insurer or other notification separately.</w:t>
      </w:r>
    </w:p>
    <w:p>
      <w:pPr>
        <w:pStyle w:val="Heading2"/>
      </w:pPr>
      <w:r>
        <w:t>Support training and review</w:t>
      </w:r>
    </w:p>
    <w:p>
      <w:r>
        <w:t>If a worker reports injury or adverse symptoms after violence or harassment, advise them to consult a health professional of their choice. Where physician treatment or treatment following a physician referral occurs during regular work hours in relation to the incident, apply the OHS entitlement to be treated as at work. Do not promise an employee assistance benefit unless Careland has arranged it.</w:t>
      </w:r>
    </w:p>
    <w:p>
      <w:r>
        <w:t>Train staff before independent assignment and when the plan changes in recognizing hazards, controls, obtaining help, reporting, investigation and documentation. Record attendance and understanding. Review this plan annually as Careland policy, and sooner after a relevant incident, changed work or site risks, or a committee or representative request; revise controls and consult workers.</w:t>
      </w:r>
    </w:p>
    <w:p>
      <w:pPr>
        <w:pStyle w:val="Heading2"/>
      </w:pPr>
      <w:r>
        <w:t>Visit safety arrangements</w:t>
      </w:r>
    </w:p>
    <w:p>
      <w:r>
        <w:t>Before an assignment, give workers the relevant risk information, approved boundaries, how to get help and who monitors their check-ins. Use specific controls that can be verified at the actual location.</w:t>
      </w:r>
    </w:p>
    <w:p>
      <w:r>
        <w:t>Where domestic violence could affect work, discuss safe communication, visitors, access, travel and emergency steps privately with the affected worker. Limit disclosure and avoid contacting a suspected aggressor in a way that increases risk.</w:t>
      </w:r>
    </w:p>
    <w:p>
      <w:r>
        <w:t>Set a review date for every interim control after an incident. Confirm that a second worker, revised visit time or access restriction is actually available before approving the next shift.</w:t>
      </w:r>
    </w:p>
    <w:p>
      <w:r>
        <w:t>A worker who reports injury or adverse symptoms is advised to consult a health professional of their choice. Apply applicable work-time treatment entitlements and record only the employment information management needs.</w:t>
      </w:r>
    </w:p>
    <w:p>
      <w:pPr>
        <w:pStyle w:val="Heading2"/>
      </w:pPr>
      <w:r>
        <w:t>Management review and training</w:t>
      </w:r>
    </w:p>
    <w:p>
      <w:r>
        <w:t>Consult affected workers, or the applicable health and safety committee or representative, when developing and reviewing the plan. Record hazards identified, controls chosen, unresolved concerns and the date workers received the revised instructions.</w:t>
      </w:r>
    </w:p>
    <w:p>
      <w:r>
        <w:t>Careland reviews this plan annually, which is its own review interval, and sooner when an incident, changed work, changed site risk or a committee or representative request requires review. The Alberta OHS Code also sets a maximum three-year routine review interval.</w:t>
      </w:r>
    </w:p>
    <w:p>
      <w:r>
        <w:t>Train workers to recognize hazards, obtain assistance, report concerns and document incidents. Use a care-visit scenario to confirm they understand the actual contact and escalation route.</w:t>
      </w:r>
    </w:p>
    <w:p>
      <w:r>
        <w:t>Keep violence and harassment investigation reports for at least two years after the incident and longer where another requirement or legal hold applies. Make them available to an OHS officer when required and restrict routine circulation.</w:t>
      </w:r>
    </w:p>
    <w:p>
      <w:pPr>
        <w:pStyle w:val="Heading1"/>
        <w:pageBreakBefore/>
      </w:pPr>
      <w:r>
        <w:t>Workplace administration and external options</w:t>
      </w:r>
    </w:p>
    <w:p>
      <w:pPr>
        <w:pStyle w:val="Heading2"/>
      </w:pPr>
      <w:r>
        <w:t>Confidentiality and records</w:t>
      </w:r>
    </w:p>
    <w:p>
      <w:r>
        <w:t>Share complaint information only as necessary to investigate, take corrective action, inform involved parties of results and corrective action, warn workers about violence threats, or comply with law. Absolute secrecy cannot be promised. Parties must not intimidate witnesses or spread allegations. This does not prevent obtaining personal support, medical or legal advice, or making a protected report.</w:t>
      </w:r>
    </w:p>
    <w:p>
      <w:r>
        <w:t>Keep complaint and investigation records in a restricted file separate from routine client records. Record who may access them. Retain violence and harassment investigation reports for at least two years after the incident, longer when required by another retention rule, an active matter or a legal hold. Make required reports available to Alberta OHS on request. Preserve records while a complaint, review or external process is pending, then dispose of them securely under the approved retention schedule.</w:t>
      </w:r>
    </w:p>
    <w:p>
      <w:pPr>
        <w:pStyle w:val="Heading2"/>
      </w:pPr>
      <w:r>
        <w:t>External reporting options</w:t>
      </w:r>
    </w:p>
    <w:p>
      <w:r>
        <w:t>Employees may contact the Alberta Human Rights Commission about discrimination, Alberta Occupational Health and Safety about workplace safety and harassment duties, Alberta Employment Standards about pay and statutory employment entitlements, police about possible offences, or their union or legal adviser where applicable. A human rights complaint generally must reach the Commission within one year of the discriminatory act. Internal reporting or review does not stop that deadline. Other routes have their own time limits.</w:t>
      </w:r>
    </w:p>
    <w:p>
      <w:r>
        <w:t>External routes may be used without completing an internal process. Professional regulator, privacy and client safeguarding duties may apply separately. Confirm other applicable deadlines promptly.</w:t>
      </w:r>
    </w:p>
    <w:p>
      <w:pPr>
        <w:pStyle w:val="Heading2"/>
      </w:pPr>
      <w:r>
        <w:t>Implementation and document control</w:t>
      </w:r>
    </w:p>
    <w:p>
      <w:r>
        <w:t>Complete the reporting contacts, independent alternate, approval and effective date; consult affected workers and provide training. Explain client and visitor conduct expectations before visits. Keep these workplace procedures synchronized with sections 9, 16, 18 and 20 of the operations manual.</w:t>
      </w:r>
    </w:p>
    <w:p>
      <w:r>
        <w:t>The standalone workplace policy set and the workplace sections of the manual use the same Version 2.0 procedure text. Management must update both when a later revision is approved.</w:t>
      </w:r>
    </w:p>
    <w:p>
      <w:bookmarkStart w:id="58" w:name="form_M"/>
      <w:pPr>
        <w:pStyle w:val="Heading1"/>
        <w:pageBreakBefore/>
      </w:pPr>
      <w:r>
        <w:t>Form M Employee complaint report</w:t>
      </w:r>
      <w:bookmarkEnd w:id="58"/>
    </w:p>
    <w:p>
      <w:pPr>
        <w:pStyle w:val="Small"/>
      </w:pPr>
      <w:r>
        <w:t>Optional form. Verbal and anonymous reports are accepted. Use a confidential route and report urgent danger immediately.</w:t>
      </w:r>
    </w:p>
    <w:p>
      <w:pPr>
        <w:pStyle w:val="FieldLabel"/>
      </w:pPr>
      <w:r>
        <w:t>Name and role optional for anonymous report</w:t>
      </w:r>
    </w:p>
    <w:p>
      <w:pPr>
        <w:pStyle w:val="ResponseLine"/>
        <w:spacing w:line="240" w:lineRule="auto"/>
        <w:pBdr>
          <w:bottom w:val="single" w:sz="3" w:color="B8BEC3"/>
        </w:pBdr>
      </w:pPr>
      <w:r>
        <w:rPr>
          <w:sz w:val="22"/>
        </w:rPr>
        <w:t xml:space="preserve"> </w:t>
      </w:r>
    </w:p>
    <w:p>
      <w:pPr>
        <w:pStyle w:val="FieldLabel"/>
      </w:pPr>
      <w:r>
        <w:t>Safe contact method and safe contact times</w:t>
      </w:r>
    </w:p>
    <w:p>
      <w:pPr>
        <w:pStyle w:val="ResponseLine"/>
        <w:spacing w:line="240" w:lineRule="auto"/>
        <w:pBdr>
          <w:bottom w:val="single" w:sz="3" w:color="B8BEC3"/>
        </w:pBdr>
      </w:pPr>
      <w:r>
        <w:rPr>
          <w:sz w:val="22"/>
        </w:rPr>
        <w:t xml:space="preserve"> </w:t>
      </w:r>
    </w:p>
    <w:p>
      <w:pPr>
        <w:pStyle w:val="FieldLabel"/>
      </w:pPr>
      <w:r>
        <w:t>Recipient and date received</w:t>
      </w:r>
    </w:p>
    <w:p>
      <w:pPr>
        <w:pStyle w:val="ResponseLine"/>
        <w:spacing w:line="240" w:lineRule="auto"/>
        <w:pBdr>
          <w:bottom w:val="single" w:sz="3" w:color="B8BEC3"/>
        </w:pBdr>
      </w:pPr>
      <w:r>
        <w:rPr>
          <w:sz w:val="22"/>
        </w:rPr>
        <w:t xml:space="preserve"> </w:t>
      </w:r>
    </w:p>
    <w:p>
      <w:pPr>
        <w:pStyle w:val="FieldLabel"/>
      </w:pPr>
      <w:r>
        <w:t>People involved incident dates times and locations</w:t>
      </w:r>
    </w:p>
    <w:p>
      <w:pPr>
        <w:pStyle w:val="ResponseLine"/>
        <w:spacing w:line="240" w:lineRule="auto"/>
        <w:pBdr>
          <w:bottom w:val="single" w:sz="3" w:color="B8BEC3"/>
        </w:pBdr>
      </w:pPr>
      <w:r>
        <w:rPr>
          <w:sz w:val="22"/>
        </w:rPr>
        <w:t xml:space="preserve"> </w:t>
      </w:r>
    </w:p>
    <w:p>
      <w:pPr>
        <w:pStyle w:val="FieldLabel"/>
      </w:pPr>
      <w:r>
        <w:t>What happened words actions and impact</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Witnesses and relevant records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safety needs and action already taken</w:t>
      </w:r>
    </w:p>
    <w:p>
      <w:pPr>
        <w:pStyle w:val="ResponseLine"/>
        <w:spacing w:line="240" w:lineRule="auto"/>
        <w:pBdr>
          <w:bottom w:val="single" w:sz="3" w:color="B8BEC3"/>
        </w:pBdr>
      </w:pPr>
      <w:r>
        <w:rPr>
          <w:sz w:val="22"/>
        </w:rPr>
        <w:t xml:space="preserve"> </w:t>
      </w:r>
    </w:p>
    <w:p>
      <w:pPr>
        <w:pStyle w:val="FieldLabel"/>
      </w:pPr>
      <w:r>
        <w:t>Requested support or outcome</w:t>
      </w:r>
    </w:p>
    <w:p>
      <w:pPr>
        <w:pStyle w:val="ResponseLine"/>
        <w:spacing w:line="240" w:lineRule="auto"/>
        <w:pBdr>
          <w:bottom w:val="single" w:sz="3" w:color="B8BEC3"/>
        </w:pBdr>
      </w:pPr>
      <w:r>
        <w:rPr>
          <w:sz w:val="22"/>
        </w:rPr>
        <w:t xml:space="preserve"> </w:t>
      </w:r>
    </w:p>
    <w:p>
      <w:pPr>
        <w:pStyle w:val="FieldLabel"/>
      </w:pPr>
      <w:r>
        <w:t>Signature optional and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59" w:name="form_N"/>
      <w:pPr>
        <w:pStyle w:val="Heading1"/>
        <w:pageBreakBefore/>
      </w:pPr>
      <w:r>
        <w:t>Form N Investigation and resolution record</w:t>
      </w:r>
      <w:bookmarkEnd w:id="59"/>
    </w:p>
    <w:p>
      <w:pPr>
        <w:pStyle w:val="Small"/>
      </w:pPr>
      <w:r>
        <w:t>Restricted case file. Record separate findings for each allegation and retain supporting evidence and reasons.</w:t>
      </w:r>
    </w:p>
    <w:p>
      <w:pPr>
        <w:pStyle w:val="FieldLabel"/>
      </w:pPr>
      <w:r>
        <w:t>Case reference investigator decision maker and conflicts</w:t>
      </w:r>
    </w:p>
    <w:p>
      <w:pPr>
        <w:pStyle w:val="ResponseLine"/>
        <w:spacing w:line="240" w:lineRule="auto"/>
        <w:pBdr>
          <w:bottom w:val="single" w:sz="3" w:color="B8BEC3"/>
        </w:pBdr>
      </w:pPr>
      <w:r>
        <w:rPr>
          <w:sz w:val="22"/>
        </w:rPr>
        <w:t xml:space="preserve"> </w:t>
      </w:r>
    </w:p>
    <w:p>
      <w:pPr>
        <w:pStyle w:val="FieldLabel"/>
      </w:pPr>
      <w:r>
        <w:t>Allegations scope policies and relevant deadlines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protections and reporting decisions</w:t>
      </w:r>
    </w:p>
    <w:p>
      <w:pPr>
        <w:pStyle w:val="ResponseLine"/>
        <w:spacing w:line="240" w:lineRule="auto"/>
        <w:pBdr>
          <w:bottom w:val="single" w:sz="3" w:color="B8BEC3"/>
        </w:pBdr>
      </w:pPr>
      <w:r>
        <w:rPr>
          <w:sz w:val="22"/>
        </w:rPr>
        <w:t xml:space="preserve"> </w:t>
      </w:r>
    </w:p>
    <w:p>
      <w:pPr>
        <w:pStyle w:val="FieldLabel"/>
      </w:pPr>
      <w:r>
        <w:t>Evidence interviews and each party response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Findings for each allegation and reasons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Corrective action owner due date and outcome notices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Review request independent reviewer and decision</w:t>
      </w:r>
    </w:p>
    <w:p>
      <w:pPr>
        <w:pStyle w:val="ResponseLine"/>
        <w:spacing w:line="240" w:lineRule="auto"/>
        <w:pBdr>
          <w:bottom w:val="single" w:sz="3" w:color="B8BEC3"/>
        </w:pBdr>
      </w:pPr>
      <w:r>
        <w:rPr>
          <w:sz w:val="22"/>
        </w:rPr>
        <w:t xml:space="preserve"> </w:t>
      </w:r>
    </w:p>
    <w:p>
      <w:pPr>
        <w:pStyle w:val="FieldLabel"/>
      </w:pPr>
      <w:r>
        <w:t>Retaliation checks closure retention and legal hold</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60" w:name="form_O"/>
      <w:pPr>
        <w:pStyle w:val="Heading1"/>
        <w:pageBreakBefore/>
      </w:pPr>
      <w:r>
        <w:t>Form O Training and employee acknowledgement</w:t>
      </w:r>
      <w:bookmarkEnd w:id="60"/>
    </w:p>
    <w:p>
      <w:pPr>
        <w:pStyle w:val="Small"/>
      </w:pPr>
      <w:r>
        <w:t>Receipt does not waive legal rights or remove Careland obligations. Record demonstrated understanding and any further training.</w:t>
      </w:r>
    </w:p>
    <w:p>
      <w:pPr>
        <w:pStyle w:val="FieldLabel"/>
      </w:pPr>
      <w:r>
        <w:t>Employee role policy version and effective date</w:t>
      </w:r>
    </w:p>
    <w:p>
      <w:pPr>
        <w:pStyle w:val="ResponseLine"/>
        <w:spacing w:line="240" w:lineRule="auto"/>
        <w:pBdr>
          <w:bottom w:val="single" w:sz="3" w:color="B8BEC3"/>
        </w:pBdr>
      </w:pPr>
      <w:r>
        <w:rPr>
          <w:sz w:val="22"/>
        </w:rPr>
        <w:t xml:space="preserve"> </w:t>
      </w:r>
    </w:p>
    <w:p>
      <w:pPr>
        <w:pStyle w:val="FieldLabel"/>
      </w:pPr>
      <w:r>
        <w:t>Trainer date accessibility or language support</w:t>
      </w:r>
    </w:p>
    <w:p>
      <w:pPr>
        <w:pStyle w:val="ResponseLine"/>
        <w:spacing w:line="240" w:lineRule="auto"/>
        <w:pBdr>
          <w:bottom w:val="single" w:sz="3" w:color="B8BEC3"/>
        </w:pBdr>
      </w:pPr>
      <w:r>
        <w:rPr>
          <w:sz w:val="22"/>
        </w:rPr>
        <w:t xml:space="preserve"> </w:t>
      </w:r>
    </w:p>
    <w:p>
      <w:pPr>
        <w:pStyle w:val="FieldLabel"/>
      </w:pPr>
      <w:r>
        <w:t>Training on harassment discrimination accommodation and violence</w:t>
      </w:r>
    </w:p>
    <w:p>
      <w:pPr>
        <w:pStyle w:val="ResponseLine"/>
        <w:spacing w:line="240" w:lineRule="auto"/>
        <w:pBdr>
          <w:bottom w:val="single" w:sz="3" w:color="B8BEC3"/>
        </w:pBdr>
      </w:pPr>
      <w:r>
        <w:rPr>
          <w:sz w:val="22"/>
        </w:rPr>
        <w:t xml:space="preserve"> </w:t>
      </w:r>
    </w:p>
    <w:p>
      <w:pPr>
        <w:pStyle w:val="FieldLabel"/>
      </w:pPr>
      <w:r>
        <w:t>Reporting contacts independent alternate and urgent help explained</w:t>
      </w:r>
    </w:p>
    <w:p>
      <w:pPr>
        <w:pStyle w:val="ResponseLine"/>
        <w:spacing w:line="240" w:lineRule="auto"/>
        <w:pBdr>
          <w:bottom w:val="single" w:sz="3" w:color="B8BEC3"/>
        </w:pBdr>
      </w:pPr>
      <w:r>
        <w:rPr>
          <w:sz w:val="22"/>
        </w:rPr>
        <w:t xml:space="preserve"> </w:t>
      </w:r>
    </w:p>
    <w:p>
      <w:pPr>
        <w:pStyle w:val="FieldLabel"/>
      </w:pPr>
      <w:r>
        <w:t>Investigation confidentiality documentation and retaliation explained</w:t>
      </w:r>
    </w:p>
    <w:p>
      <w:pPr>
        <w:pStyle w:val="ResponseLine"/>
        <w:spacing w:line="240" w:lineRule="auto"/>
        <w:pBdr>
          <w:bottom w:val="single" w:sz="3" w:color="B8BEC3"/>
        </w:pBdr>
      </w:pPr>
      <w:r>
        <w:rPr>
          <w:sz w:val="22"/>
        </w:rPr>
        <w:t xml:space="preserve"> </w:t>
      </w:r>
    </w:p>
    <w:p>
      <w:pPr>
        <w:pStyle w:val="FieldLabel"/>
      </w:pPr>
      <w:r>
        <w:t>Scenario understanding task restrictions and further training</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Questions and follow up owner and date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Employee and trainer signatures and date</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61" w:name="form_T"/>
      <w:pPr>
        <w:pStyle w:val="Heading1"/>
        <w:pageBreakBefore/>
      </w:pPr>
      <w:r>
        <w:t>Form T Accommodation request and review</w:t>
      </w:r>
      <w:bookmarkEnd w:id="61"/>
    </w:p>
    <w:p>
      <w:pPr>
        <w:pStyle w:val="Small"/>
      </w:pPr>
      <w:r>
        <w:t>Optional form. A request may be verbal. Collect functional needs and only information reasonably necessary for assessment.</w:t>
      </w:r>
    </w:p>
    <w:p>
      <w:pPr>
        <w:pStyle w:val="FieldLabel"/>
      </w:pPr>
      <w:r>
        <w:t>Employee or applicant role safe contact and request date</w:t>
      </w:r>
    </w:p>
    <w:p>
      <w:pPr>
        <w:pStyle w:val="ResponseLine"/>
        <w:spacing w:line="240" w:lineRule="auto"/>
        <w:pBdr>
          <w:bottom w:val="single" w:sz="3" w:color="B8BEC3"/>
        </w:pBdr>
      </w:pPr>
      <w:r>
        <w:rPr>
          <w:sz w:val="22"/>
        </w:rPr>
        <w:t xml:space="preserve"> </w:t>
      </w:r>
    </w:p>
    <w:p>
      <w:pPr>
        <w:pStyle w:val="FieldLabel"/>
      </w:pPr>
      <w:r>
        <w:t>Barrier need and essential duties affected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Functional limitations relevant duration and supporting information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Immediate measures and options discussed</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Agreed arrangement owner start date and trial review</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Reasons for any declined option and alternatives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Review route communication and signatures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62" w:name="form_U"/>
      <w:pPr>
        <w:pStyle w:val="Heading1"/>
        <w:pageBreakBefore/>
      </w:pPr>
      <w:r>
        <w:t>Form U Lone worker visit safety and check in plan</w:t>
      </w:r>
      <w:bookmarkEnd w:id="62"/>
    </w:p>
    <w:p>
      <w:pPr>
        <w:pStyle w:val="Small"/>
      </w:pPr>
      <w:r>
        <w:t>Assign an available monitor and backup. Escalate suspected danger immediately.</w:t>
      </w:r>
    </w:p>
    <w:p>
      <w:pPr>
        <w:pStyle w:val="FieldLabel"/>
      </w:pPr>
      <w:r>
        <w:t>Worker client identifier location visit start and end</w:t>
      </w:r>
    </w:p>
    <w:p>
      <w:pPr>
        <w:pStyle w:val="ResponseLine"/>
        <w:spacing w:line="240" w:lineRule="auto"/>
        <w:pBdr>
          <w:bottom w:val="single" w:sz="3" w:color="B8BEC3"/>
        </w:pBdr>
      </w:pPr>
      <w:r>
        <w:rPr>
          <w:sz w:val="22"/>
        </w:rPr>
        <w:t xml:space="preserve"> </w:t>
      </w:r>
    </w:p>
    <w:p>
      <w:pPr>
        <w:pStyle w:val="FieldLabel"/>
      </w:pPr>
      <w:r>
        <w:t>Relevant hazards controls and information given to worker</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Check in method times phone coverage and test</w:t>
      </w:r>
    </w:p>
    <w:p>
      <w:pPr>
        <w:pStyle w:val="ResponseLine"/>
        <w:spacing w:line="240" w:lineRule="auto"/>
        <w:pBdr>
          <w:bottom w:val="single" w:sz="3" w:color="B8BEC3"/>
        </w:pBdr>
      </w:pPr>
      <w:r>
        <w:rPr>
          <w:sz w:val="22"/>
        </w:rPr>
        <w:t xml:space="preserve"> </w:t>
      </w:r>
    </w:p>
    <w:p>
      <w:pPr>
        <w:pStyle w:val="FieldLabel"/>
      </w:pPr>
      <w:r>
        <w:t>Named monitor contact and backup</w:t>
      </w:r>
    </w:p>
    <w:p>
      <w:pPr>
        <w:pStyle w:val="ResponseLine"/>
        <w:spacing w:line="240" w:lineRule="auto"/>
        <w:pBdr>
          <w:bottom w:val="single" w:sz="3" w:color="B8BEC3"/>
        </w:pBdr>
      </w:pPr>
      <w:r>
        <w:rPr>
          <w:sz w:val="22"/>
        </w:rPr>
        <w:t xml:space="preserve"> </w:t>
      </w:r>
    </w:p>
    <w:p>
      <w:pPr>
        <w:pStyle w:val="FieldLabel"/>
      </w:pPr>
      <w:r>
        <w:t>Missed check immediate contact sequence and escalation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Emergency access support and dependent client arrangements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Actual checks contact attempts and outcomes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Review changes and worker manager signatures</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bookmarkStart w:id="63" w:name="form_V"/>
      <w:pPr>
        <w:pStyle w:val="Heading1"/>
        <w:pageBreakBefore/>
      </w:pPr>
      <w:r>
        <w:t>Form V Complaint triage and external reporting register</w:t>
      </w:r>
      <w:bookmarkEnd w:id="63"/>
    </w:p>
    <w:p>
      <w:pPr>
        <w:pStyle w:val="Small"/>
      </w:pPr>
      <w:r>
        <w:t>Do not wait for an internal outcome before a required notification. Verify current duties and record reasons.</w:t>
      </w:r>
    </w:p>
    <w:p>
      <w:pPr>
        <w:pStyle w:val="FieldLabel"/>
      </w:pPr>
      <w:r>
        <w:t>Case reference receipt time and responsible manager</w:t>
      </w:r>
    </w:p>
    <w:p>
      <w:pPr>
        <w:pStyle w:val="ResponseLine"/>
        <w:spacing w:line="240" w:lineRule="auto"/>
        <w:pBdr>
          <w:bottom w:val="single" w:sz="3" w:color="B8BEC3"/>
        </w:pBdr>
      </w:pPr>
      <w:r>
        <w:rPr>
          <w:sz w:val="22"/>
        </w:rPr>
        <w:t xml:space="preserve"> </w:t>
      </w:r>
    </w:p>
    <w:p>
      <w:pPr>
        <w:pStyle w:val="FieldLabel"/>
      </w:pPr>
      <w:r>
        <w:t>Immediate risk protections and competent reviewer</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Applicable routes safeguarding OHS privacy employment regulator or police</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Duty to notify assessment current guide and decision reasons</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Required recipient deadline submission time and confirmation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Internal updates and evidence preservation</w:t>
      </w:r>
    </w:p>
    <w:p>
      <w:pPr>
        <w:pStyle w:val="ResponseLine"/>
        <w:spacing w:line="240" w:lineRule="auto"/>
        <w:pBdr>
          <w:bottom w:val="single" w:sz="3" w:color="B8BEC3"/>
        </w:pBdr>
      </w:pPr>
      <w:r>
        <w:rPr>
          <w:sz w:val="22"/>
        </w:rPr>
        <w:t xml:space="preserve"> </w:t>
      </w:r>
    </w:p>
    <w:p>
      <w:pPr>
        <w:pStyle w:val="FieldLabel"/>
      </w:pPr>
      <w:r>
        <w:t>Outstanding actions owner due date and verification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Small"/>
      </w:pPr>
      <w:r>
        <w:t>Keep completed records in the appropriate restricted file. Attach dated continuation pages when needed.</w:t>
      </w:r>
    </w:p>
    <w:p>
      <w:pPr>
        <w:pStyle w:val="Heading1"/>
        <w:pageBreakBefore/>
      </w:pPr>
      <w:r>
        <w:t>Reference sources and review basis</w:t>
      </w:r>
    </w:p>
    <w:p>
      <w:r>
        <w:t>Reference check date 29 October 2026. Management checks current law professional requirements and contract conditions when approving services or revising these policies. Internal response and review targets are Careland policy choices.</w:t>
      </w:r>
    </w:p>
    <w:p>
      <w:r>
        <w:t>These sources support particular provisions. They do not certify that Careland has been approved accredited registered with a payer or found compliant. Applicability depends on the service model and actual work performed.</w:t>
      </w:r>
    </w:p>
    <w:p>
      <w:pPr>
        <w:pStyle w:val="Small"/>
      </w:pPr>
      <w:hyperlink r:id="rId12">
        <w:r>
          <w:rPr>
            <w:color w:val="173F5F"/>
            <w:u w:val="single"/>
          </w:rPr>
          <w:t>Alberta OHS Code Part 27 Violence and Harassment</w:t>
        </w:r>
      </w:hyperlink>
    </w:p>
    <w:p>
      <w:pPr>
        <w:pStyle w:val="Small"/>
      </w:pPr>
      <w:r>
        <w:t>https://search-ohs-laws.alberta.ca/legislation/occupational-health-and-safety-code/part-27-violence-and-harassment/</w:t>
      </w:r>
    </w:p>
    <w:p>
      <w:pPr>
        <w:pStyle w:val="Small"/>
      </w:pPr>
      <w:hyperlink r:id="rId13">
        <w:r>
          <w:rPr>
            <w:color w:val="173F5F"/>
            <w:u w:val="single"/>
          </w:rPr>
          <w:t>Alberta Human Rights Commission harassment at work</w:t>
        </w:r>
      </w:hyperlink>
    </w:p>
    <w:p>
      <w:pPr>
        <w:pStyle w:val="Small"/>
      </w:pPr>
      <w:r>
        <w:t>https://www.albertahumanrights.ab.ca/issues-at-work/harassment-at-work/</w:t>
      </w:r>
    </w:p>
    <w:p>
      <w:pPr>
        <w:pStyle w:val="Small"/>
      </w:pPr>
      <w:hyperlink r:id="rId14">
        <w:r>
          <w:rPr>
            <w:color w:val="173F5F"/>
            <w:u w:val="single"/>
          </w:rPr>
          <w:t>Alberta Human Rights Commission duty to accommodate at work</w:t>
        </w:r>
      </w:hyperlink>
    </w:p>
    <w:p>
      <w:pPr>
        <w:pStyle w:val="Small"/>
      </w:pPr>
      <w:r>
        <w:t>https://www.albertahumanrights.ab.ca/issues-at-work/duty-to-accommodate-at-work/</w:t>
      </w:r>
    </w:p>
    <w:p>
      <w:pPr>
        <w:pStyle w:val="Small"/>
      </w:pPr>
      <w:hyperlink r:id="rId15">
        <w:r>
          <w:rPr>
            <w:color w:val="173F5F"/>
            <w:u w:val="single"/>
          </w:rPr>
          <w:t>Alberta Human Rights Commission complaint deadlines</w:t>
        </w:r>
      </w:hyperlink>
    </w:p>
    <w:p>
      <w:pPr>
        <w:pStyle w:val="Small"/>
      </w:pPr>
      <w:r>
        <w:t>https://www.albertahumanrights.ab.ca/frequently-asked-questions/</w:t>
      </w:r>
    </w:p>
    <w:p>
      <w:pPr>
        <w:pStyle w:val="Small"/>
      </w:pPr>
      <w:hyperlink r:id="rId16">
        <w:r>
          <w:rPr>
            <w:color w:val="173F5F"/>
            <w:u w:val="single"/>
          </w:rPr>
          <w:t>Alberta private sector privacy law PIPA</w:t>
        </w:r>
      </w:hyperlink>
    </w:p>
    <w:p>
      <w:pPr>
        <w:pStyle w:val="Small"/>
      </w:pPr>
      <w:r>
        <w:t>https://www.alberta.ca/personal-information-protection-act</w:t>
      </w:r>
    </w:p>
    <w:p>
      <w:pPr>
        <w:pStyle w:val="Small"/>
      </w:pPr>
      <w:hyperlink r:id="rId17">
        <w:r>
          <w:rPr>
            <w:color w:val="173F5F"/>
            <w:u w:val="single"/>
          </w:rPr>
          <w:t>Alberta OIPC privacy breach notification requirements</w:t>
        </w:r>
      </w:hyperlink>
    </w:p>
    <w:p>
      <w:pPr>
        <w:pStyle w:val="Small"/>
      </w:pPr>
      <w:r>
        <w:t>https://oipc.ab.ca/breach-notification/</w:t>
      </w:r>
    </w:p>
    <w:p>
      <w:pPr>
        <w:pStyle w:val="Small"/>
      </w:pPr>
      <w:hyperlink r:id="rId18">
        <w:r>
          <w:rPr>
            <w:color w:val="173F5F"/>
            <w:u w:val="single"/>
          </w:rPr>
          <w:t>Alberta caregiver employment standards exceptions</w:t>
        </w:r>
      </w:hyperlink>
    </w:p>
    <w:p>
      <w:pPr>
        <w:pStyle w:val="Small"/>
      </w:pPr>
      <w:r>
        <w:t>https://www.alberta.ca/es-exceptions-caregivers</w:t>
      </w:r>
    </w:p>
    <w:p>
      <w:pPr>
        <w:pStyle w:val="Heading2"/>
      </w:pPr>
      <w:r>
        <w:t>Revision record</w:t>
      </w:r>
    </w:p>
    <w:tbl>
      <w:tblPr>
        <w:tblW w:type="auto" w:w="0"/>
        <w:jc w:val="center"/>
        <w:tblLayout w:type="fixed"/>
        <w:tblLook w:firstColumn="1" w:firstRow="1" w:lastColumn="0" w:lastRow="0" w:noHBand="0" w:noVBand="1" w:val="04A0"/>
      </w:tblPr>
      <w:tblGrid>
        <w:gridCol w:w="936"/>
        <w:gridCol w:w="1656"/>
        <w:gridCol w:w="7402"/>
      </w:tblGrid>
      <w:tr>
        <w:trPr>
          <w:tblHeader/>
        </w:trPr>
        <w:tc>
          <w:tcPr>
            <w:tcW w:type="dxa" w:w="9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Version</w:t>
            </w:r>
          </w:p>
        </w:tc>
        <w:tc>
          <w:tcPr>
            <w:tcW w:type="dxa" w:w="165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Prepared</w:t>
            </w:r>
          </w:p>
        </w:tc>
        <w:tc>
          <w:tcPr>
            <w:tcW w:type="dxa" w:w="740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173F5F"/>
          </w:tcPr>
          <w:p>
            <w:pPr>
              <w:pStyle w:val="TableText"/>
            </w:pPr>
            <w:r>
              <w:rPr>
                <w:b/>
                <w:color w:val="FFFFFF"/>
              </w:rPr>
              <w:t>Change</w:t>
            </w:r>
          </w:p>
        </w:tc>
      </w:tr>
      <w:tr>
        <w:trPr>
          <w:cantSplit/>
          <w:cantSplit/>
          <w:cantSplit/>
        </w:trPr>
        <w:tc>
          <w:tcPr>
            <w:tcW w:type="dxa" w:w="93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2.0</w:t>
            </w:r>
          </w:p>
        </w:tc>
        <w:tc>
          <w:tcPr>
            <w:tcW w:type="dxa" w:w="1656"/>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29 October 2026</w:t>
            </w:r>
          </w:p>
        </w:tc>
        <w:tc>
          <w:tcPr>
            <w:tcW w:type="dxa" w:w="7402"/>
            <w:vAlign w:val="center"/>
            <w:tcBorders>
              <w:top w:val="single" w:sz="4" w:color="D9D9D9"/>
              <w:left w:val="single" w:sz="4" w:color="D9D9D9"/>
              <w:bottom w:val="single" w:sz="4" w:color="D9D9D9"/>
              <w:right w:val="single" w:sz="4" w:color="D9D9D9"/>
            </w:tcBorders>
            <w:tcMar>
              <w:top w:w="85" w:type="dxa"/>
              <w:left w:w="85" w:type="dxa"/>
              <w:bottom w:w="85" w:type="dxa"/>
              <w:right w:w="85" w:type="dxa"/>
            </w:tcMar>
            <w:shd w:fill="FFFFFF"/>
          </w:tcPr>
          <w:p>
            <w:pPr>
              <w:pStyle w:val="TableText"/>
            </w:pPr>
            <w:r>
              <w:t>Expanded responsibilities operating procedures workplace investigations and reusable forms. Management approval and effective date remain to be recorded.</w:t>
            </w:r>
          </w:p>
        </w:tc>
      </w:tr>
    </w:tbl>
    <w:sectPr w:rsidR="00FC693F" w:rsidRPr="0006063C" w:rsidSect="00034616">
      <w:headerReference w:type="default" r:id="rId9"/>
      <w:footerReference w:type="default" r:id="rId10"/>
      <w:pgSz w:w="12240" w:h="15840"/>
      <w:pgMar w:top="1037" w:right="1123" w:bottom="979" w:left="112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Careland workplace policies  |  Page </w:t>
    </w:r>
    <w:fldSimple w:instr="PAGE">
      <w:r>
        <w:t>1</w:t>
      </w:r>
    </w:fldSimple>
    <w:r>
      <w:rPr>
        <w:sz w:val="16"/>
      </w:rPr>
      <w:t xml:space="preserve"> of </w:t>
    </w:r>
    <w:fldSimple w:instr="NUMPAGES">
      <w: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pPr>
    <w:r>
      <w:rPr>
        <w:sz w:val="16"/>
      </w:rPr>
      <w:t>CARELAND WORKPLACE POLICIES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2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80" w:after="12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libri" w:hAnsi="Calibri"/>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80" w:after="120"/>
      <w:outlineLvl w:val="2"/>
    </w:pPr>
    <w:rPr>
      <w:rFonts w:asciiTheme="majorHAnsi" w:eastAsiaTheme="majorEastAsia" w:hAnsiTheme="majorHAnsi" w:cstheme="majorBidi" w:ascii="Calibri" w:hAnsi="Calibri"/>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80" w:line="240" w:lineRule="auto" w:before="80"/>
      <w:contextualSpacing/>
    </w:pPr>
    <w:rPr>
      <w:rFonts w:asciiTheme="majorHAnsi" w:eastAsiaTheme="majorEastAsia" w:hAnsiTheme="majorHAnsi" w:cstheme="majorBidi" w:ascii="Calibri" w:hAnsi="Calibri"/>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120" w:before="80"/>
    </w:pPr>
    <w:rPr>
      <w:rFonts w:asciiTheme="majorHAnsi" w:eastAsiaTheme="majorEastAsia" w:hAnsiTheme="majorHAnsi" w:cstheme="majorBidi" w:ascii="Calibri" w:hAnsi="Calibri"/>
      <w:b w:val="0"/>
      <w:i/>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120"/>
      <w:contextualSpacing/>
    </w:pPr>
    <w:rPr>
      <w:rFonts w:ascii="Calibri" w:hAnsi="Calibri"/>
      <w:color w:val="00000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120"/>
      <w:contextualSpacing/>
    </w:pPr>
    <w:rPr>
      <w:rFonts w:ascii="Calibri" w:hAnsi="Calibri"/>
      <w:color w:val="00000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 Text"/>
    <w:basedOn w:val="Normal"/>
    <w:pPr>
      <w:spacing w:after="80"/>
    </w:pPr>
    <w:rPr>
      <w:sz w:val="19"/>
    </w:rPr>
  </w:style>
  <w:style w:type="paragraph" w:customStyle="1" w:styleId="Small">
    <w:name w:val="Small"/>
    <w:basedOn w:val="Normal"/>
    <w:pPr>
      <w:spacing w:after="100"/>
    </w:pPr>
    <w:rPr>
      <w:sz w:val="18"/>
    </w:rPr>
  </w:style>
  <w:style w:type="paragraph" w:customStyle="1" w:styleId="FieldLabel">
    <w:name w:val="Field Label"/>
    <w:basedOn w:val="Normal"/>
    <w:pPr>
      <w:keepNext/>
      <w:spacing w:after="0"/>
    </w:pPr>
    <w:rPr>
      <w:b/>
      <w:sz w:val="20"/>
    </w:rPr>
  </w:style>
  <w:style w:type="paragraph" w:customStyle="1" w:styleId="ResponseLine">
    <w:name w:val="Response Line"/>
    <w:basedOn w:val="Normal"/>
    <w:pPr>
      <w:spacing w:after="100"/>
    </w:pPr>
    <w:rPr>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hyperlink" Target="https://search-ohs-laws.alberta.ca/legislation/occupational-health-and-safety-code/part-27-violence-and-harassment/" TargetMode="External"/><Relationship Id="rId13" Type="http://schemas.openxmlformats.org/officeDocument/2006/relationships/hyperlink" Target="https://www.albertahumanrights.ab.ca/issues-at-work/harassment-at-work/" TargetMode="External"/><Relationship Id="rId14" Type="http://schemas.openxmlformats.org/officeDocument/2006/relationships/hyperlink" Target="https://www.albertahumanrights.ab.ca/issues-at-work/duty-to-accommodate-at-work/" TargetMode="External"/><Relationship Id="rId15" Type="http://schemas.openxmlformats.org/officeDocument/2006/relationships/hyperlink" Target="https://www.albertahumanrights.ab.ca/frequently-asked-questions/" TargetMode="External"/><Relationship Id="rId16" Type="http://schemas.openxmlformats.org/officeDocument/2006/relationships/hyperlink" Target="https://www.alberta.ca/personal-information-protection-act" TargetMode="External"/><Relationship Id="rId17" Type="http://schemas.openxmlformats.org/officeDocument/2006/relationships/hyperlink" Target="https://oipc.ab.ca/breach-notification/" TargetMode="External"/><Relationship Id="rId18" Type="http://schemas.openxmlformats.org/officeDocument/2006/relationships/hyperlink" Target="https://www.alberta.ca/es-exceptions-caregiv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Careland Workplace Conduct and Employee Complaints</dc:title>
  <dc:subject>Home care operations and workplace reporting procedures</dc:subject>
  <dc:creator>Careland</dc:creator>
  <cp:keywords/>
  <dc:description>generated by python-docx</dc:description>
  <cp:lastModifiedBy/>
  <cp:revision>1</cp:revision>
  <dcterms:created xsi:type="dcterms:W3CDTF">2013-12-23T23:15:00Z</dcterms:created>
  <dcterms:modified xsi:type="dcterms:W3CDTF">2013-12-23T23:15:00Z</dcterms:modified>
  <cp:category/>
  <cp:version>2.0</cp:version>
</cp:coreProperties>
</file>